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3" w:rsidRDefault="00FD508B">
      <w:pPr>
        <w:pStyle w:val="Bezodstpw"/>
        <w:rPr>
          <w:rFonts w:ascii="Verdana" w:hAnsi="Verdana"/>
        </w:rPr>
      </w:pPr>
      <w:r>
        <w:rPr>
          <w:rFonts w:ascii="Verdana" w:hAnsi="Verdana"/>
        </w:rPr>
        <w:t>W pełni biała o</w:t>
      </w:r>
      <w:r w:rsidR="00FD0DA3">
        <w:rPr>
          <w:rFonts w:ascii="Verdana" w:hAnsi="Verdana"/>
        </w:rPr>
        <w:t>budowa</w:t>
      </w:r>
      <w:r w:rsidR="001D36E3">
        <w:rPr>
          <w:rFonts w:ascii="Verdana" w:hAnsi="Verdana"/>
        </w:rPr>
        <w:t xml:space="preserve"> Ventum VT4</w:t>
      </w:r>
      <w:r w:rsidR="00432F83">
        <w:rPr>
          <w:rFonts w:ascii="Verdana" w:hAnsi="Verdana"/>
        </w:rPr>
        <w:t>V</w:t>
      </w:r>
      <w:r w:rsidR="001D36E3">
        <w:rPr>
          <w:rFonts w:ascii="Verdana" w:hAnsi="Verdana"/>
        </w:rPr>
        <w:t xml:space="preserve"> </w:t>
      </w:r>
      <w:proofErr w:type="spellStart"/>
      <w:r w:rsidR="00C66335">
        <w:rPr>
          <w:rFonts w:ascii="Verdana" w:hAnsi="Verdana"/>
        </w:rPr>
        <w:t>Evo</w:t>
      </w:r>
      <w:proofErr w:type="spellEnd"/>
      <w:r w:rsidR="00C66335">
        <w:rPr>
          <w:rFonts w:ascii="Verdana" w:hAnsi="Verdana"/>
        </w:rPr>
        <w:t xml:space="preserve"> TG ARGB </w:t>
      </w:r>
      <w:r>
        <w:rPr>
          <w:rFonts w:ascii="Verdana" w:hAnsi="Verdana"/>
        </w:rPr>
        <w:t xml:space="preserve">White </w:t>
      </w:r>
      <w:r w:rsidR="001D36E3">
        <w:rPr>
          <w:rFonts w:ascii="Verdana" w:hAnsi="Verdana"/>
        </w:rPr>
        <w:t xml:space="preserve">wyróżnia </w:t>
      </w:r>
      <w:r w:rsidR="00FD0DA3">
        <w:rPr>
          <w:rFonts w:ascii="Verdana" w:hAnsi="Verdana"/>
        </w:rPr>
        <w:t xml:space="preserve">się </w:t>
      </w:r>
      <w:r w:rsidR="00432F83">
        <w:rPr>
          <w:rFonts w:ascii="Verdana" w:hAnsi="Verdana"/>
        </w:rPr>
        <w:t xml:space="preserve">bardzo </w:t>
      </w:r>
      <w:r w:rsidR="001D36E3">
        <w:rPr>
          <w:rFonts w:ascii="Verdana" w:hAnsi="Verdana"/>
        </w:rPr>
        <w:t>wysoki</w:t>
      </w:r>
      <w:r w:rsidR="00FD0DA3">
        <w:rPr>
          <w:rFonts w:ascii="Verdana" w:hAnsi="Verdana"/>
        </w:rPr>
        <w:t>m</w:t>
      </w:r>
      <w:r w:rsidR="001D36E3">
        <w:rPr>
          <w:rFonts w:ascii="Verdana" w:hAnsi="Verdana"/>
        </w:rPr>
        <w:t xml:space="preserve"> przepływ</w:t>
      </w:r>
      <w:r w:rsidR="00FD0DA3">
        <w:rPr>
          <w:rFonts w:ascii="Verdana" w:hAnsi="Verdana"/>
        </w:rPr>
        <w:t>em</w:t>
      </w:r>
      <w:r w:rsidR="001D36E3">
        <w:rPr>
          <w:rFonts w:ascii="Verdana" w:hAnsi="Verdana"/>
        </w:rPr>
        <w:t xml:space="preserve"> powietrza zapewniony</w:t>
      </w:r>
      <w:r w:rsidR="00FD0DA3">
        <w:rPr>
          <w:rFonts w:ascii="Verdana" w:hAnsi="Verdana"/>
        </w:rPr>
        <w:t>m</w:t>
      </w:r>
      <w:r w:rsidR="001D36E3">
        <w:rPr>
          <w:rFonts w:ascii="Verdana" w:hAnsi="Verdana"/>
        </w:rPr>
        <w:t xml:space="preserve"> przez otwarty przedni panel, a także </w:t>
      </w:r>
      <w:r w:rsidR="00432F83">
        <w:rPr>
          <w:rFonts w:ascii="Verdana" w:hAnsi="Verdana"/>
        </w:rPr>
        <w:t xml:space="preserve">cztery </w:t>
      </w:r>
      <w:r w:rsidR="001D36E3">
        <w:rPr>
          <w:rFonts w:ascii="Verdana" w:hAnsi="Verdana"/>
        </w:rPr>
        <w:t xml:space="preserve">wysokociśnieniowe </w:t>
      </w:r>
      <w:r w:rsidR="00C66335">
        <w:rPr>
          <w:rFonts w:ascii="Verdana" w:hAnsi="Verdana"/>
        </w:rPr>
        <w:t xml:space="preserve">i podświetlone </w:t>
      </w:r>
      <w:r w:rsidR="001D36E3">
        <w:rPr>
          <w:rFonts w:ascii="Verdana" w:hAnsi="Verdana"/>
        </w:rPr>
        <w:t xml:space="preserve">wentylatory </w:t>
      </w:r>
      <w:r>
        <w:rPr>
          <w:rFonts w:ascii="Verdana" w:hAnsi="Verdana"/>
        </w:rPr>
        <w:t>Pulsar</w:t>
      </w:r>
      <w:r w:rsidR="00FD0DA3">
        <w:rPr>
          <w:rFonts w:ascii="Verdana" w:hAnsi="Verdana"/>
        </w:rPr>
        <w:t xml:space="preserve"> HP </w:t>
      </w:r>
      <w:r w:rsidR="00C66335">
        <w:rPr>
          <w:rFonts w:ascii="Verdana" w:hAnsi="Verdana"/>
        </w:rPr>
        <w:t xml:space="preserve">ARGB </w:t>
      </w:r>
      <w:r w:rsidR="00FD0DA3">
        <w:rPr>
          <w:rFonts w:ascii="Verdana" w:hAnsi="Verdana"/>
        </w:rPr>
        <w:t>120 mm CF</w:t>
      </w:r>
      <w:r w:rsidR="001D36E3">
        <w:rPr>
          <w:rFonts w:ascii="Verdana" w:hAnsi="Verdana"/>
        </w:rPr>
        <w:t>. Unikalną zaletą jest także m</w:t>
      </w:r>
      <w:r w:rsidR="00042F12">
        <w:rPr>
          <w:rFonts w:ascii="Verdana" w:hAnsi="Verdana"/>
        </w:rPr>
        <w:t xml:space="preserve">ożliwość zamontowania </w:t>
      </w:r>
      <w:r w:rsidR="001D36E3">
        <w:rPr>
          <w:rFonts w:ascii="Verdana" w:hAnsi="Verdana"/>
        </w:rPr>
        <w:t>zintegrowanego zestawu chłodzenia cieczą (AIO) nawet w rozmiarze 280 mm na górze obudowy – niezależnie od wysokości zastosowanych pamięci RAM. W skład rodziny VT4 wchodzą: Ventum VT</w:t>
      </w:r>
      <w:r w:rsidR="001D36E3">
        <w:rPr>
          <w:rFonts w:ascii="Verdana" w:hAnsi="Verdana"/>
        </w:rPr>
        <w:t xml:space="preserve">4 TG z panelem bocznym ze szkła hartowanego, Ventum VT4V TG z pakietem czterech wentylatorów, Ventum VT4V </w:t>
      </w:r>
      <w:proofErr w:type="spellStart"/>
      <w:r w:rsidR="001D36E3">
        <w:rPr>
          <w:rFonts w:ascii="Verdana" w:hAnsi="Verdana"/>
        </w:rPr>
        <w:t>Evo</w:t>
      </w:r>
      <w:proofErr w:type="spellEnd"/>
      <w:r w:rsidR="001D36E3">
        <w:rPr>
          <w:rFonts w:ascii="Verdana" w:hAnsi="Verdana"/>
        </w:rPr>
        <w:t xml:space="preserve"> TG ARGB także z czterema wentylatorami, ale z podświetleniem LED ARGB, jak również – rodzynek w ofercie – Ventum VT4V </w:t>
      </w:r>
      <w:proofErr w:type="spellStart"/>
      <w:r w:rsidR="001D36E3">
        <w:rPr>
          <w:rFonts w:ascii="Verdana" w:hAnsi="Verdana"/>
        </w:rPr>
        <w:t>Evo</w:t>
      </w:r>
      <w:proofErr w:type="spellEnd"/>
      <w:r w:rsidR="001D36E3">
        <w:rPr>
          <w:rFonts w:ascii="Verdana" w:hAnsi="Verdana"/>
        </w:rPr>
        <w:t xml:space="preserve"> TG ARGB White czyli wers</w:t>
      </w:r>
      <w:r w:rsidR="001D36E3">
        <w:rPr>
          <w:rFonts w:ascii="Verdana" w:hAnsi="Verdana"/>
        </w:rPr>
        <w:t>ja biała ze zjawiskowymi wentylatorami Pulsar HP ARGB 120 mm CF.</w:t>
      </w:r>
    </w:p>
    <w:p w:rsidR="00843323" w:rsidRDefault="00843323">
      <w:pPr>
        <w:pStyle w:val="Bezodstpw"/>
        <w:rPr>
          <w:rFonts w:ascii="Verdana" w:hAnsi="Verdana"/>
        </w:rPr>
      </w:pPr>
    </w:p>
    <w:p w:rsidR="00C2293E" w:rsidRDefault="00C2293E" w:rsidP="00C229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Dla użytkowników preferujących białą stylistykę stanowiska komputerowego przygotowana została atrakcyjnie wyglądająca obudowa Ventum VT4V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 White. Intensywny biały lakier znalazł się na niemal każdym widocznym jej elemencie: wewnętrznej strukturze, przednim panelu, jak i górnym filtrze </w:t>
      </w:r>
      <w:proofErr w:type="spellStart"/>
      <w:r>
        <w:rPr>
          <w:rFonts w:ascii="Verdana" w:hAnsi="Verdana"/>
        </w:rPr>
        <w:t>przeciwkurzowym</w:t>
      </w:r>
      <w:proofErr w:type="spellEnd"/>
      <w:r>
        <w:rPr>
          <w:rFonts w:ascii="Verdana" w:hAnsi="Verdana"/>
        </w:rPr>
        <w:t>. Uroku dodają też, zarezerwowane dla tego modelu, wentylatory Pulsar HP ARGB 120 mm CF, których nawet ramki przepuszczają światło, co w połączeniu z białym kolorem obudowy tworzy niepowtarzalny efekt.</w:t>
      </w:r>
    </w:p>
    <w:p w:rsidR="00FD508B" w:rsidRDefault="00FD508B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>Ventum VT4</w:t>
      </w:r>
      <w:r w:rsidR="00432F83">
        <w:rPr>
          <w:rFonts w:ascii="Verdana" w:hAnsi="Verdana"/>
        </w:rPr>
        <w:t>V</w:t>
      </w:r>
      <w:r>
        <w:rPr>
          <w:rFonts w:ascii="Verdana" w:hAnsi="Verdana"/>
        </w:rPr>
        <w:t xml:space="preserve"> </w:t>
      </w:r>
      <w:proofErr w:type="spellStart"/>
      <w:r w:rsidR="00C66335">
        <w:rPr>
          <w:rFonts w:ascii="Verdana" w:hAnsi="Verdana"/>
        </w:rPr>
        <w:t>Evo</w:t>
      </w:r>
      <w:proofErr w:type="spellEnd"/>
      <w:r w:rsidR="00C66335">
        <w:rPr>
          <w:rFonts w:ascii="Verdana" w:hAnsi="Verdana"/>
        </w:rPr>
        <w:t xml:space="preserve"> </w:t>
      </w:r>
      <w:r w:rsidR="00FD0DA3">
        <w:rPr>
          <w:rFonts w:ascii="Verdana" w:hAnsi="Verdana"/>
        </w:rPr>
        <w:t>TG</w:t>
      </w:r>
      <w:r w:rsidR="00C66335">
        <w:rPr>
          <w:rFonts w:ascii="Verdana" w:hAnsi="Verdana"/>
        </w:rPr>
        <w:t xml:space="preserve"> ARGB</w:t>
      </w:r>
      <w:r w:rsidR="00FD0DA3">
        <w:rPr>
          <w:rFonts w:ascii="Verdana" w:hAnsi="Verdana"/>
        </w:rPr>
        <w:t xml:space="preserve"> </w:t>
      </w:r>
      <w:r w:rsidR="00FD508B">
        <w:rPr>
          <w:rFonts w:ascii="Verdana" w:hAnsi="Verdana"/>
        </w:rPr>
        <w:t xml:space="preserve">White </w:t>
      </w:r>
      <w:r w:rsidR="00432F83">
        <w:rPr>
          <w:rFonts w:ascii="Verdana" w:hAnsi="Verdana"/>
        </w:rPr>
        <w:t>bazuje</w:t>
      </w:r>
      <w:r>
        <w:rPr>
          <w:rFonts w:ascii="Verdana" w:hAnsi="Verdana"/>
        </w:rPr>
        <w:t xml:space="preserve"> na przestronnej strukturze, która pomieści karty graficzne długie na 345 mm, a powietrzny system chłodzenia procesora </w:t>
      </w:r>
      <w:r w:rsidR="002A043A">
        <w:rPr>
          <w:rFonts w:ascii="Verdana" w:hAnsi="Verdana"/>
        </w:rPr>
        <w:t>o</w:t>
      </w:r>
      <w:r>
        <w:rPr>
          <w:rFonts w:ascii="Verdana" w:hAnsi="Verdana"/>
        </w:rPr>
        <w:t xml:space="preserve"> wysokoś</w:t>
      </w:r>
      <w:r w:rsidR="002A043A">
        <w:rPr>
          <w:rFonts w:ascii="Verdana" w:hAnsi="Verdana"/>
        </w:rPr>
        <w:t>ci</w:t>
      </w:r>
      <w:r>
        <w:rPr>
          <w:rFonts w:ascii="Verdana" w:hAnsi="Verdana"/>
        </w:rPr>
        <w:t xml:space="preserve"> 159 </w:t>
      </w:r>
      <w:r>
        <w:rPr>
          <w:rFonts w:ascii="Verdana" w:hAnsi="Verdana"/>
        </w:rPr>
        <w:t xml:space="preserve">mm. Układ chłodzenia cieczą (AIO) w rozmiarze 240 lub 280 mieści się bezkolizyjnie na górze obudowy lub jej przodzie. Dostęp świeżego powietrza zapewnia </w:t>
      </w:r>
      <w:r w:rsidR="002A043A">
        <w:rPr>
          <w:rFonts w:ascii="Verdana" w:hAnsi="Verdana"/>
        </w:rPr>
        <w:t>przewiewny</w:t>
      </w:r>
      <w:r>
        <w:rPr>
          <w:rFonts w:ascii="Verdana" w:hAnsi="Verdana"/>
        </w:rPr>
        <w:t xml:space="preserve"> front z </w:t>
      </w:r>
      <w:r w:rsidR="002A043A">
        <w:rPr>
          <w:rFonts w:ascii="Verdana" w:hAnsi="Verdana"/>
        </w:rPr>
        <w:t xml:space="preserve">licznymi </w:t>
      </w:r>
      <w:r>
        <w:rPr>
          <w:rFonts w:ascii="Verdana" w:hAnsi="Verdana"/>
        </w:rPr>
        <w:t>otworami o średnicy 0,9 mm. Tym samym</w:t>
      </w:r>
      <w:r>
        <w:rPr>
          <w:rFonts w:ascii="Verdana" w:hAnsi="Verdana"/>
        </w:rPr>
        <w:t xml:space="preserve"> </w:t>
      </w:r>
      <w:r w:rsidR="00FD0DA3">
        <w:rPr>
          <w:rFonts w:ascii="Verdana" w:hAnsi="Verdana"/>
        </w:rPr>
        <w:t xml:space="preserve">SilentiumPC </w:t>
      </w:r>
      <w:r>
        <w:rPr>
          <w:rFonts w:ascii="Verdana" w:hAnsi="Verdana"/>
        </w:rPr>
        <w:t>Ventum VT4</w:t>
      </w:r>
      <w:r w:rsidR="000D6B80">
        <w:rPr>
          <w:rFonts w:ascii="Verdana" w:hAnsi="Verdana"/>
        </w:rPr>
        <w:t>V</w:t>
      </w:r>
      <w:r>
        <w:rPr>
          <w:rFonts w:ascii="Verdana" w:hAnsi="Verdana"/>
        </w:rPr>
        <w:t xml:space="preserve"> </w:t>
      </w:r>
      <w:proofErr w:type="spellStart"/>
      <w:r w:rsidR="00C66335">
        <w:rPr>
          <w:rFonts w:ascii="Verdana" w:hAnsi="Verdana"/>
        </w:rPr>
        <w:t>Evo</w:t>
      </w:r>
      <w:proofErr w:type="spellEnd"/>
      <w:r w:rsidR="00C66335">
        <w:rPr>
          <w:rFonts w:ascii="Verdana" w:hAnsi="Verdana"/>
        </w:rPr>
        <w:t xml:space="preserve"> </w:t>
      </w:r>
      <w:r w:rsidR="00FD0DA3">
        <w:rPr>
          <w:rFonts w:ascii="Verdana" w:hAnsi="Verdana"/>
        </w:rPr>
        <w:t>TG</w:t>
      </w:r>
      <w:r w:rsidR="00C66335">
        <w:rPr>
          <w:rFonts w:ascii="Verdana" w:hAnsi="Verdana"/>
        </w:rPr>
        <w:t xml:space="preserve"> ARGB</w:t>
      </w:r>
      <w:r w:rsidR="00FD0DA3">
        <w:rPr>
          <w:rFonts w:ascii="Verdana" w:hAnsi="Verdana"/>
        </w:rPr>
        <w:t xml:space="preserve"> </w:t>
      </w:r>
      <w:r w:rsidR="00FD508B">
        <w:rPr>
          <w:rFonts w:ascii="Verdana" w:hAnsi="Verdana"/>
        </w:rPr>
        <w:t xml:space="preserve">White </w:t>
      </w:r>
      <w:r>
        <w:rPr>
          <w:rFonts w:ascii="Verdana" w:hAnsi="Verdana"/>
        </w:rPr>
        <w:t xml:space="preserve">sprawdzi się jako podstawa </w:t>
      </w:r>
      <w:r>
        <w:rPr>
          <w:rFonts w:ascii="Verdana" w:hAnsi="Verdana"/>
        </w:rPr>
        <w:t>naw</w:t>
      </w:r>
      <w:r>
        <w:rPr>
          <w:rFonts w:ascii="Verdana" w:hAnsi="Verdana"/>
        </w:rPr>
        <w:t>et</w:t>
      </w:r>
      <w:r>
        <w:rPr>
          <w:rFonts w:ascii="Verdana" w:hAnsi="Verdana"/>
        </w:rPr>
        <w:t xml:space="preserve"> </w:t>
      </w:r>
      <w:r w:rsidR="002A043A">
        <w:rPr>
          <w:rFonts w:ascii="Verdana" w:hAnsi="Verdana"/>
        </w:rPr>
        <w:t xml:space="preserve">dla </w:t>
      </w:r>
      <w:r>
        <w:rPr>
          <w:rFonts w:ascii="Verdana" w:hAnsi="Verdana"/>
        </w:rPr>
        <w:t xml:space="preserve">bardzo wydajnych komputerów wyposażonych np. w 12-rdzeniowe, </w:t>
      </w:r>
      <w:proofErr w:type="spellStart"/>
      <w:r>
        <w:rPr>
          <w:rFonts w:ascii="Verdana" w:hAnsi="Verdana"/>
        </w:rPr>
        <w:t>wysokotaktowane</w:t>
      </w:r>
      <w:proofErr w:type="spellEnd"/>
      <w:r>
        <w:rPr>
          <w:rFonts w:ascii="Verdana" w:hAnsi="Verdana"/>
        </w:rPr>
        <w:t xml:space="preserve"> procesory oraz nowoczesne karty graficzne z podwyższonym TDP i rozbudowanym układem chłodzenia.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0D6B80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Świetna</w:t>
      </w:r>
      <w:r w:rsidR="001D36E3">
        <w:rPr>
          <w:rFonts w:ascii="Verdana" w:hAnsi="Verdana"/>
          <w:b/>
        </w:rPr>
        <w:t xml:space="preserve"> wentylacja</w:t>
      </w:r>
    </w:p>
    <w:p w:rsidR="00FD0DA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>Odpowiedni przepływ powietrza przez obudowę jest niezbędn</w:t>
      </w:r>
      <w:r>
        <w:rPr>
          <w:rFonts w:ascii="Verdana" w:hAnsi="Verdana"/>
        </w:rPr>
        <w:t xml:space="preserve">y dla zapewnienia niskich temperatur zainstalowanych we wnętrzu komponentów. Wentylację wzmagają </w:t>
      </w:r>
      <w:r w:rsidR="000D6B80">
        <w:rPr>
          <w:rFonts w:ascii="Verdana" w:hAnsi="Verdana"/>
        </w:rPr>
        <w:t>cztery</w:t>
      </w:r>
      <w:r w:rsidR="00FD0DA3">
        <w:rPr>
          <w:rFonts w:ascii="Verdana" w:hAnsi="Verdana"/>
        </w:rPr>
        <w:t xml:space="preserve"> </w:t>
      </w:r>
      <w:r>
        <w:rPr>
          <w:rFonts w:ascii="Verdana" w:hAnsi="Verdana"/>
        </w:rPr>
        <w:t>wysokociśnieniowe wentylatory SilentiumPC</w:t>
      </w:r>
      <w:r w:rsidR="009975F0">
        <w:rPr>
          <w:rFonts w:ascii="Verdana" w:hAnsi="Verdana"/>
        </w:rPr>
        <w:t xml:space="preserve"> Pulsar</w:t>
      </w:r>
      <w:r>
        <w:rPr>
          <w:rFonts w:ascii="Verdana" w:hAnsi="Verdana"/>
        </w:rPr>
        <w:t xml:space="preserve"> HP</w:t>
      </w:r>
      <w:r w:rsidR="00C66335">
        <w:rPr>
          <w:rFonts w:ascii="Verdana" w:hAnsi="Verdana"/>
        </w:rPr>
        <w:t xml:space="preserve"> ARGB</w:t>
      </w:r>
      <w:r w:rsidR="00FD0DA3">
        <w:rPr>
          <w:rFonts w:ascii="Verdana" w:hAnsi="Verdana"/>
        </w:rPr>
        <w:t xml:space="preserve"> w rozmiarze 120 mm</w:t>
      </w:r>
      <w:r>
        <w:rPr>
          <w:rFonts w:ascii="Verdana" w:hAnsi="Verdana"/>
        </w:rPr>
        <w:t xml:space="preserve">, których maksymalna prędkość obrotowa wynosi 1200 </w:t>
      </w:r>
      <w:proofErr w:type="spellStart"/>
      <w:r>
        <w:rPr>
          <w:rFonts w:ascii="Verdana" w:hAnsi="Verdana"/>
        </w:rPr>
        <w:t>obr</w:t>
      </w:r>
      <w:proofErr w:type="spellEnd"/>
      <w:r>
        <w:rPr>
          <w:rFonts w:ascii="Verdana" w:hAnsi="Verdana"/>
        </w:rPr>
        <w:t xml:space="preserve">./min. </w:t>
      </w:r>
      <w:r>
        <w:rPr>
          <w:rFonts w:ascii="Verdana" w:hAnsi="Verdana"/>
        </w:rPr>
        <w:t>Zapewniają one nie ty</w:t>
      </w:r>
      <w:r>
        <w:rPr>
          <w:rFonts w:ascii="Verdana" w:hAnsi="Verdana"/>
        </w:rPr>
        <w:t xml:space="preserve">lko wysoki przepływ powietrza, </w:t>
      </w:r>
      <w:r w:rsidR="002A043A">
        <w:rPr>
          <w:rFonts w:ascii="Verdana" w:hAnsi="Verdana"/>
        </w:rPr>
        <w:t xml:space="preserve">ale także </w:t>
      </w:r>
      <w:r>
        <w:rPr>
          <w:rFonts w:ascii="Verdana" w:hAnsi="Verdana"/>
        </w:rPr>
        <w:t>sprawdzą się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 gęstej chłodnicy zestawu AIO, co podnosi ich uniwersalność. </w:t>
      </w:r>
    </w:p>
    <w:p w:rsidR="00FD0DA3" w:rsidRDefault="00FD0DA3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>Liczba i rodzaj zainstalowanych wentylatorów zależy od wersji obudowy</w:t>
      </w:r>
      <w:r w:rsidR="00FD0DA3">
        <w:rPr>
          <w:rFonts w:ascii="Verdana" w:hAnsi="Verdana"/>
        </w:rPr>
        <w:t xml:space="preserve"> Ventum VT4</w:t>
      </w:r>
      <w:r>
        <w:rPr>
          <w:rFonts w:ascii="Verdana" w:hAnsi="Verdana"/>
        </w:rPr>
        <w:t>: od dwóch do czterech, z opcją montażu w sumie ośmiu: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Ventum VT4 TG: </w:t>
      </w:r>
      <w:r>
        <w:rPr>
          <w:rFonts w:ascii="Verdana" w:hAnsi="Verdana"/>
        </w:rPr>
        <w:t>2 × Sigma HP 120 mm CF (z przodu oraz z tyłu),</w:t>
      </w:r>
    </w:p>
    <w:p w:rsidR="00843323" w:rsidRDefault="001D36E3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Ventum VT4V TG: 4 × Sigma HP 120 mm CF (z przodu oraz z tyłu),</w:t>
      </w:r>
    </w:p>
    <w:p w:rsidR="00843323" w:rsidRDefault="001D36E3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Ventum VT4V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ARGB: 4 × Stella HP ARGB 120 mm CF (z przodu oraz z tyłu),</w:t>
      </w:r>
    </w:p>
    <w:p w:rsidR="00843323" w:rsidRDefault="001D36E3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Ventum VT4V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 White: 4 × Pulsar HP ARGB 120 mm CF (z przod</w:t>
      </w:r>
      <w:r>
        <w:rPr>
          <w:rFonts w:ascii="Verdana" w:hAnsi="Verdana"/>
        </w:rPr>
        <w:t>u oraz z tyłu),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>Odbieraniem energii cieplnej z procesora może zająć się wysoki na 159 mm układ chłodzenia powietrznego lub zestaw chłodzenia cieczą (</w:t>
      </w: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>-In-One – AIO). W drugim wariancie, jego chłodnica może być umieszczona z przodu (240 lub 280 mm) lub n</w:t>
      </w:r>
      <w:r>
        <w:rPr>
          <w:rFonts w:ascii="Verdana" w:hAnsi="Verdana"/>
        </w:rPr>
        <w:t xml:space="preserve">a górze (240 lub 280 mm). AIO 120 mm zmieści się także na </w:t>
      </w:r>
      <w:r>
        <w:rPr>
          <w:rFonts w:ascii="Verdana" w:hAnsi="Verdana"/>
        </w:rPr>
        <w:lastRenderedPageBreak/>
        <w:t>tylnej ściance obudowy. Top Ventum</w:t>
      </w:r>
      <w:r>
        <w:rPr>
          <w:rFonts w:ascii="Verdana" w:hAnsi="Verdana"/>
        </w:rPr>
        <w:t xml:space="preserve"> VT4</w:t>
      </w:r>
      <w:r w:rsidR="000D6B80">
        <w:rPr>
          <w:rFonts w:ascii="Verdana" w:hAnsi="Verdana"/>
        </w:rPr>
        <w:t>V</w:t>
      </w:r>
      <w:r>
        <w:rPr>
          <w:rFonts w:ascii="Verdana" w:hAnsi="Verdana"/>
        </w:rPr>
        <w:t xml:space="preserve"> </w:t>
      </w:r>
      <w:proofErr w:type="spellStart"/>
      <w:r w:rsidR="00C66335">
        <w:rPr>
          <w:rFonts w:ascii="Verdana" w:hAnsi="Verdana"/>
        </w:rPr>
        <w:t>Evo</w:t>
      </w:r>
      <w:proofErr w:type="spellEnd"/>
      <w:r w:rsidR="00C66335">
        <w:rPr>
          <w:rFonts w:ascii="Verdana" w:hAnsi="Verdana"/>
        </w:rPr>
        <w:t xml:space="preserve"> TG ARGB</w:t>
      </w:r>
      <w:r w:rsidR="00FD0DA3">
        <w:rPr>
          <w:rFonts w:ascii="Verdana" w:hAnsi="Verdana"/>
        </w:rPr>
        <w:t xml:space="preserve"> </w:t>
      </w:r>
      <w:r w:rsidR="009975F0">
        <w:rPr>
          <w:rFonts w:ascii="Verdana" w:hAnsi="Verdana"/>
        </w:rPr>
        <w:t xml:space="preserve">White </w:t>
      </w:r>
      <w:r>
        <w:rPr>
          <w:rFonts w:ascii="Verdana" w:hAnsi="Verdana"/>
        </w:rPr>
        <w:t>został podniesiony na tyle, by podwieszona pod nim chłodnica AIO mijała się z płytą główną, a więc i zainstalowanymi na niej modułami pamięci RAM. Tym samy</w:t>
      </w:r>
      <w:r>
        <w:rPr>
          <w:rFonts w:ascii="Verdana" w:hAnsi="Verdana"/>
        </w:rPr>
        <w:t>m mogą być one niemalże dowolnie wysokie i ich ewentualne podświetlenie LED nie będzie przesłaniane przez układ chłodzenia cieczą.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FD0DA3">
      <w:pPr>
        <w:pStyle w:val="Bezodstpw"/>
        <w:rPr>
          <w:rFonts w:ascii="Verdana" w:hAnsi="Verdana"/>
        </w:rPr>
      </w:pPr>
      <w:r>
        <w:rPr>
          <w:rFonts w:ascii="Verdana" w:hAnsi="Verdana"/>
        </w:rPr>
        <w:t>System wentylacji obudowy</w:t>
      </w:r>
      <w:r w:rsidR="001D36E3">
        <w:rPr>
          <w:rFonts w:ascii="Verdana" w:hAnsi="Verdana"/>
        </w:rPr>
        <w:t xml:space="preserve"> Ventum VT4</w:t>
      </w:r>
      <w:r w:rsidR="000D6B80">
        <w:rPr>
          <w:rFonts w:ascii="Verdana" w:hAnsi="Verdana"/>
        </w:rPr>
        <w:t>V</w:t>
      </w:r>
      <w:r>
        <w:rPr>
          <w:rFonts w:ascii="Verdana" w:hAnsi="Verdana"/>
        </w:rPr>
        <w:t xml:space="preserve"> </w:t>
      </w:r>
      <w:proofErr w:type="spellStart"/>
      <w:r w:rsidR="00C66335">
        <w:rPr>
          <w:rFonts w:ascii="Verdana" w:hAnsi="Verdana"/>
        </w:rPr>
        <w:t>Evo</w:t>
      </w:r>
      <w:proofErr w:type="spellEnd"/>
      <w:r w:rsidR="00C66335">
        <w:rPr>
          <w:rFonts w:ascii="Verdana" w:hAnsi="Verdana"/>
        </w:rPr>
        <w:t xml:space="preserve"> TG ARGB</w:t>
      </w:r>
      <w:r w:rsidR="001D36E3">
        <w:rPr>
          <w:rFonts w:ascii="Verdana" w:hAnsi="Verdana"/>
        </w:rPr>
        <w:t xml:space="preserve"> </w:t>
      </w:r>
      <w:r w:rsidR="009975F0">
        <w:rPr>
          <w:rFonts w:ascii="Verdana" w:hAnsi="Verdana"/>
        </w:rPr>
        <w:t xml:space="preserve">White </w:t>
      </w:r>
      <w:r w:rsidR="001D36E3">
        <w:rPr>
          <w:rFonts w:ascii="Verdana" w:hAnsi="Verdana"/>
        </w:rPr>
        <w:t>można rozbudować do maksymalnie 8 wentylatorów 120 mm (trzy z przodu, dwa na górze, jede</w:t>
      </w:r>
      <w:r w:rsidR="001D36E3">
        <w:rPr>
          <w:rFonts w:ascii="Verdana" w:hAnsi="Verdana"/>
        </w:rPr>
        <w:t>n z tyłu oraz dwa na osłonie dolnej komory). Wentylatory w rozmiarze 140 mm zmieszczą się w liczbie dwóch z przodu obudowy, a także kolejnych dwóch na jej górze.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Przed dostawaniem się zabrudzeń do wnętrza komputera chroni zestaw filtrów </w:t>
      </w:r>
      <w:proofErr w:type="spellStart"/>
      <w:r>
        <w:rPr>
          <w:rFonts w:ascii="Verdana" w:hAnsi="Verdana"/>
        </w:rPr>
        <w:t>przeciwkurzowych</w:t>
      </w:r>
      <w:proofErr w:type="spellEnd"/>
      <w:r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pod zasilaczem oraz na topie obudowy, wygodnie mocowane z użyciem magnesów – oraz specjalnie zaprojektowany przedni panel z niewielkimi otworami o średnicy wynoszącej około 0,9 mm. Wystarczy go przetrzeć ściereczką, by zdjąć z niego wyłapaną warstwę kurzu</w:t>
      </w:r>
      <w:r>
        <w:rPr>
          <w:rFonts w:ascii="Verdana" w:hAnsi="Verdana"/>
        </w:rPr>
        <w:t>. Powietrze może swobodnie przepływać przez te otwory, co skutecznie obniża temperaturę podzespołów</w:t>
      </w:r>
      <w:r w:rsidR="00FD0DA3">
        <w:rPr>
          <w:rFonts w:ascii="Verdana" w:hAnsi="Verdana"/>
        </w:rPr>
        <w:t xml:space="preserve"> zamontowanych we wnętrzu obudowy</w:t>
      </w:r>
      <w:r>
        <w:rPr>
          <w:rFonts w:ascii="Verdana" w:hAnsi="Verdana"/>
        </w:rPr>
        <w:t>.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Miejsce na dyski twarde oraz nośniki SSD</w:t>
      </w:r>
    </w:p>
    <w:p w:rsidR="0084332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>W dolnej komorze oraz zatoce serwisowej</w:t>
      </w:r>
      <w:r w:rsidR="002A043A">
        <w:rPr>
          <w:rFonts w:ascii="Verdana" w:hAnsi="Verdana"/>
        </w:rPr>
        <w:t xml:space="preserve"> </w:t>
      </w:r>
      <w:r>
        <w:rPr>
          <w:rFonts w:ascii="Verdana" w:hAnsi="Verdana"/>
        </w:rPr>
        <w:t>Ventum VT4</w:t>
      </w:r>
      <w:r w:rsidR="000D6B80">
        <w:rPr>
          <w:rFonts w:ascii="Verdana" w:hAnsi="Verdana"/>
        </w:rPr>
        <w:t>V</w:t>
      </w:r>
      <w:r w:rsidR="00FD0DA3">
        <w:rPr>
          <w:rFonts w:ascii="Verdana" w:hAnsi="Verdana"/>
        </w:rPr>
        <w:t xml:space="preserve"> </w:t>
      </w:r>
      <w:proofErr w:type="spellStart"/>
      <w:r w:rsidR="00C66335">
        <w:rPr>
          <w:rFonts w:ascii="Verdana" w:hAnsi="Verdana"/>
        </w:rPr>
        <w:t>Evo</w:t>
      </w:r>
      <w:proofErr w:type="spellEnd"/>
      <w:r w:rsidR="00C66335">
        <w:rPr>
          <w:rFonts w:ascii="Verdana" w:hAnsi="Verdana"/>
        </w:rPr>
        <w:t xml:space="preserve"> TG ARGB</w:t>
      </w:r>
      <w:r>
        <w:rPr>
          <w:rFonts w:ascii="Verdana" w:hAnsi="Verdana"/>
        </w:rPr>
        <w:t xml:space="preserve"> </w:t>
      </w:r>
      <w:r w:rsidR="009975F0">
        <w:rPr>
          <w:rFonts w:ascii="Verdana" w:hAnsi="Verdana"/>
        </w:rPr>
        <w:t xml:space="preserve">White </w:t>
      </w:r>
      <w:r>
        <w:rPr>
          <w:rFonts w:ascii="Verdana" w:hAnsi="Verdana"/>
        </w:rPr>
        <w:t>przewidziano miejsc</w:t>
      </w:r>
      <w:r>
        <w:rPr>
          <w:rFonts w:ascii="Verdana" w:hAnsi="Verdana"/>
        </w:rPr>
        <w:t>e na dwa dyski 3,5” – montowane z użyciem śrub z gumą redukującą wibracje – oraz trzy nośniki 2,5” przykręcane do przegrody, na jej tylnej stronie w specjalnych szynach.</w:t>
      </w:r>
    </w:p>
    <w:p w:rsidR="00843323" w:rsidRDefault="00843323">
      <w:pPr>
        <w:pStyle w:val="Bezodstpw"/>
        <w:rPr>
          <w:rFonts w:ascii="Verdana" w:hAnsi="Verdana"/>
        </w:rPr>
      </w:pPr>
    </w:p>
    <w:p w:rsidR="00843323" w:rsidRDefault="001D36E3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USB i audio</w:t>
      </w:r>
    </w:p>
    <w:p w:rsidR="00843323" w:rsidRDefault="001D36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Górny panel wejść/wyjść składa się z dwóch portów USB 3.2 Gen 1 (USB </w:t>
      </w:r>
      <w:r>
        <w:rPr>
          <w:rFonts w:ascii="Verdana" w:hAnsi="Verdana"/>
        </w:rPr>
        <w:t>3.0), portów audio (dla słuchawek oraz mikrofonu)</w:t>
      </w:r>
      <w:r w:rsidR="00C66335">
        <w:rPr>
          <w:rFonts w:ascii="Verdana" w:hAnsi="Verdana"/>
        </w:rPr>
        <w:t xml:space="preserve"> jak i przycisków POWER i RESET. Po podłączeniu kontrolera Nano-Reset ARGB pod „RESET” pełni on funkcję kontroli podświetlenia LED.</w:t>
      </w:r>
    </w:p>
    <w:p w:rsidR="00843323" w:rsidRDefault="00843323">
      <w:pPr>
        <w:pStyle w:val="Bezodstpw"/>
        <w:rPr>
          <w:rFonts w:ascii="Verdana" w:hAnsi="Verdana"/>
        </w:rPr>
      </w:pPr>
    </w:p>
    <w:p w:rsidR="00C66335" w:rsidRDefault="00C66335" w:rsidP="00C66335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Ventum VT4V z doskonałą wentylacją – „V”</w:t>
      </w:r>
    </w:p>
    <w:p w:rsidR="00C66335" w:rsidRDefault="00C66335" w:rsidP="00C66335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Aż trzy warianty obudowy Ventum VT4 opisane są dodatkowym oznaczeniem „V”, które wskazuje nie tylko na przedni panel o bardzo wysokim przepływie powietrza, ale także na obecność przynajmniej czterech wentylatorów seryjnie zamontowanych we wnętrzu. Mowa o: Ventum VT4V TG (4 × Sigma HP 120 mm CF), Ventum VT4V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 (4 × Stella HP </w:t>
      </w:r>
      <w:r w:rsidR="00222688">
        <w:rPr>
          <w:rFonts w:ascii="Verdana" w:hAnsi="Verdana"/>
        </w:rPr>
        <w:t xml:space="preserve">ARGB </w:t>
      </w:r>
      <w:r>
        <w:rPr>
          <w:rFonts w:ascii="Verdana" w:hAnsi="Verdana"/>
        </w:rPr>
        <w:t xml:space="preserve">120 mm CF) oraz Ventum VT4V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 White (4 × Pulsar HP </w:t>
      </w:r>
      <w:r w:rsidR="00222688">
        <w:rPr>
          <w:rFonts w:ascii="Verdana" w:hAnsi="Verdana"/>
        </w:rPr>
        <w:t xml:space="preserve">ARGB </w:t>
      </w:r>
      <w:r>
        <w:rPr>
          <w:rFonts w:ascii="Verdana" w:hAnsi="Verdana"/>
        </w:rPr>
        <w:t>120 mm CF).</w:t>
      </w:r>
    </w:p>
    <w:p w:rsidR="00C66335" w:rsidRDefault="00C66335" w:rsidP="00C66335">
      <w:pPr>
        <w:pStyle w:val="Bezodstpw"/>
        <w:rPr>
          <w:rFonts w:ascii="Verdana" w:hAnsi="Verdana"/>
        </w:rPr>
      </w:pPr>
    </w:p>
    <w:p w:rsidR="00C66335" w:rsidRDefault="00C66335" w:rsidP="00C66335">
      <w:pPr>
        <w:pStyle w:val="Bezodstpw"/>
        <w:rPr>
          <w:rFonts w:ascii="Verdana" w:hAnsi="Verdana"/>
        </w:rPr>
      </w:pPr>
      <w:r>
        <w:rPr>
          <w:rFonts w:ascii="Verdana" w:hAnsi="Verdana"/>
        </w:rPr>
        <w:t>Wszystkie obudowy z oznaczeniem VT4V wyposażone są w rozgałęziacz umożliwiający podłączenie wszystkich wentylatorów do jednego złącza w płycie głównej lub kontrolerze.</w:t>
      </w:r>
    </w:p>
    <w:p w:rsidR="00C66335" w:rsidRDefault="00C66335" w:rsidP="00C66335">
      <w:pPr>
        <w:pStyle w:val="Bezodstpw"/>
        <w:rPr>
          <w:rFonts w:ascii="Verdana" w:hAnsi="Verdana"/>
        </w:rPr>
      </w:pPr>
    </w:p>
    <w:p w:rsidR="00C66335" w:rsidRDefault="00C66335" w:rsidP="00C66335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S</w:t>
      </w:r>
      <w:r>
        <w:rPr>
          <w:rFonts w:ascii="Verdana" w:hAnsi="Verdana"/>
          <w:b/>
        </w:rPr>
        <w:t>ystem adresowalnego podświetlenia LED</w:t>
      </w:r>
    </w:p>
    <w:p w:rsidR="00C66335" w:rsidRDefault="00C66335" w:rsidP="00C66335">
      <w:pPr>
        <w:pStyle w:val="Bezodstpw"/>
        <w:rPr>
          <w:rFonts w:ascii="Verdana" w:hAnsi="Verdana"/>
        </w:rPr>
      </w:pPr>
      <w:r>
        <w:rPr>
          <w:rFonts w:ascii="Verdana" w:hAnsi="Verdana"/>
        </w:rPr>
        <w:t>Obudowa</w:t>
      </w:r>
      <w:r>
        <w:rPr>
          <w:rFonts w:ascii="Verdana" w:hAnsi="Verdana"/>
        </w:rPr>
        <w:t xml:space="preserve"> SilentiumPC Ventum VT4V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TG ARGB</w:t>
      </w:r>
      <w:r>
        <w:rPr>
          <w:rFonts w:ascii="Verdana" w:hAnsi="Verdana"/>
        </w:rPr>
        <w:t xml:space="preserve"> </w:t>
      </w:r>
      <w:r w:rsidR="009975F0">
        <w:rPr>
          <w:rFonts w:ascii="Verdana" w:hAnsi="Verdana"/>
        </w:rPr>
        <w:t xml:space="preserve">White </w:t>
      </w:r>
      <w:r>
        <w:rPr>
          <w:rFonts w:ascii="Verdana" w:hAnsi="Verdana"/>
        </w:rPr>
        <w:t>wyposażona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jest</w:t>
      </w:r>
      <w:r>
        <w:rPr>
          <w:rFonts w:ascii="Verdana" w:hAnsi="Verdana"/>
        </w:rPr>
        <w:t xml:space="preserve"> w zespół czterech wentyla</w:t>
      </w:r>
      <w:r w:rsidR="009975F0">
        <w:rPr>
          <w:rFonts w:ascii="Verdana" w:hAnsi="Verdana"/>
        </w:rPr>
        <w:t>torów wysokociśnieniowych: Pulsar</w:t>
      </w:r>
      <w:r>
        <w:rPr>
          <w:rFonts w:ascii="Verdana" w:hAnsi="Verdana"/>
        </w:rPr>
        <w:t xml:space="preserve"> HP ARGB 120 mm CF. Trzy z nich zamontowane są z przodu obudowy, zaś czwarty na tylnej jej ściance. Generują one nie tylko duży przepływ powietrza, ale także nadciśnienie, co pomaga utrzymać czystość we wnętrzu komputera. Do </w:t>
      </w:r>
      <w:r>
        <w:rPr>
          <w:rFonts w:ascii="Verdana" w:hAnsi="Verdana"/>
        </w:rPr>
        <w:t xml:space="preserve">zestawu </w:t>
      </w:r>
      <w:r>
        <w:rPr>
          <w:rFonts w:ascii="Verdana" w:hAnsi="Verdana"/>
        </w:rPr>
        <w:t xml:space="preserve">dołączony został zaawansowany kontroler adresowalnego podświetlenia LED – Nano-Reset ARGB – z kilkudziesięcioma trybami: różne efekty, zadane kolory. W zestawie znajduje </w:t>
      </w:r>
      <w:r>
        <w:rPr>
          <w:rFonts w:ascii="Verdana" w:hAnsi="Verdana"/>
        </w:rPr>
        <w:lastRenderedPageBreak/>
        <w:t>się również rozdzielacz na w sumie 5 urządzeń ARGB oraz 5 wentylatorów, co umożliwia ich podłączenie do jednego gniazda w kontrolerze lub płycie głównej.</w:t>
      </w:r>
    </w:p>
    <w:p w:rsidR="00C66335" w:rsidRDefault="00C66335" w:rsidP="00C66335">
      <w:pPr>
        <w:pStyle w:val="Bezodstpw"/>
        <w:rPr>
          <w:rFonts w:ascii="Verdana" w:hAnsi="Verdana"/>
        </w:rPr>
      </w:pPr>
    </w:p>
    <w:p w:rsidR="00C66335" w:rsidRDefault="00C66335" w:rsidP="00C66335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>Kompatybilność systemu adresowalnego podświetlenia LED ARGB</w:t>
      </w:r>
    </w:p>
    <w:p w:rsidR="00C66335" w:rsidRDefault="00C66335" w:rsidP="00C66335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Użytkownik może zdecydować o podłączeniu wentylatorów </w:t>
      </w:r>
      <w:r w:rsidR="009975F0">
        <w:rPr>
          <w:rFonts w:ascii="Verdana" w:hAnsi="Verdana"/>
        </w:rPr>
        <w:t>Pulsar</w:t>
      </w:r>
      <w:r>
        <w:rPr>
          <w:rFonts w:ascii="Verdana" w:hAnsi="Verdana"/>
        </w:rPr>
        <w:t xml:space="preserve"> HP ARGB 120 mm CF bezpośrednio do płyty głównej, by z poziomu jej oprogramowania sterować podświetleniem. Kompatybilne płyty główne wyposażone są w 3-pinowe złącze ARGB w systemie 2+1. Mowa o następujących rozwiązaniach: </w:t>
      </w:r>
      <w:proofErr w:type="spellStart"/>
      <w:r>
        <w:rPr>
          <w:rFonts w:ascii="Verdana" w:hAnsi="Verdana"/>
        </w:rPr>
        <w:t>ASRock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Polychrome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Sync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Asus</w:t>
      </w:r>
      <w:proofErr w:type="spellEnd"/>
      <w:r>
        <w:rPr>
          <w:rFonts w:ascii="Verdana" w:hAnsi="Verdana"/>
        </w:rPr>
        <w:t xml:space="preserve"> Aura </w:t>
      </w:r>
      <w:proofErr w:type="spellStart"/>
      <w:r>
        <w:rPr>
          <w:rFonts w:ascii="Verdana" w:hAnsi="Verdana"/>
        </w:rPr>
        <w:t>Sync</w:t>
      </w:r>
      <w:proofErr w:type="spellEnd"/>
      <w:r>
        <w:rPr>
          <w:rFonts w:ascii="Verdana" w:hAnsi="Verdana"/>
        </w:rPr>
        <w:t xml:space="preserve"> oraz MSI </w:t>
      </w:r>
      <w:proofErr w:type="spellStart"/>
      <w:r>
        <w:rPr>
          <w:rFonts w:ascii="Verdana" w:hAnsi="Verdana"/>
        </w:rPr>
        <w:t>Mystic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Light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Gigabyte</w:t>
      </w:r>
      <w:proofErr w:type="spellEnd"/>
      <w:r>
        <w:rPr>
          <w:rFonts w:ascii="Verdana" w:hAnsi="Verdana"/>
        </w:rPr>
        <w:t xml:space="preserve"> RGB Fusion 2.0 (wyłącznie w systemie 2+1 z jednym pustym wyprowadzeniem pomiędzy </w:t>
      </w:r>
      <w:proofErr w:type="spellStart"/>
      <w:r>
        <w:rPr>
          <w:rFonts w:ascii="Verdana" w:hAnsi="Verdana"/>
        </w:rPr>
        <w:t>pinami</w:t>
      </w:r>
      <w:proofErr w:type="spellEnd"/>
      <w:r>
        <w:rPr>
          <w:rFonts w:ascii="Verdana" w:hAnsi="Verdana"/>
        </w:rPr>
        <w:t>) na większości płyt głównych tego producenta obsługiwany jest natywnie. Inne systemy adresowalnego oświetlenia również są obsługiwane, jeśli są kompatybilne z wymienionymi. Wystarczy końcówkę spiętych ze sobą przewodów ARGB wpiąć w odpowiednie złącze płyty głównej, a jej oprogramowanie umożliwi sterowanie kolorami i wzorami oświetlenia.</w:t>
      </w:r>
    </w:p>
    <w:p w:rsidR="00C66335" w:rsidRDefault="00C66335" w:rsidP="00C66335">
      <w:pPr>
        <w:pStyle w:val="Bezodstpw"/>
        <w:rPr>
          <w:rFonts w:ascii="Verdana" w:hAnsi="Verdana"/>
        </w:rPr>
      </w:pPr>
    </w:p>
    <w:p w:rsidR="00C66335" w:rsidRDefault="00C66335" w:rsidP="00C66335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System adresowalnego podświetlenia LED ARGB (5 V) jest w pełni kompatybilny z innymi urządzeniami SilentiumPC ARGB. To m.in. zestawy zintegrowanego chłodzenia cieczą </w:t>
      </w:r>
      <w:proofErr w:type="spellStart"/>
      <w:r>
        <w:rPr>
          <w:rFonts w:ascii="Verdana" w:hAnsi="Verdana"/>
        </w:rPr>
        <w:t>Navis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ARGB, </w:t>
      </w:r>
      <w:proofErr w:type="spellStart"/>
      <w:r>
        <w:rPr>
          <w:rFonts w:ascii="Verdana" w:hAnsi="Verdana"/>
        </w:rPr>
        <w:t>coolery</w:t>
      </w:r>
      <w:proofErr w:type="spellEnd"/>
      <w:r>
        <w:rPr>
          <w:rFonts w:ascii="Verdana" w:hAnsi="Verdana"/>
        </w:rPr>
        <w:t xml:space="preserve"> powietrzne z podświetleniem ARGB, paski LED Aurora </w:t>
      </w:r>
      <w:proofErr w:type="spellStart"/>
      <w:r>
        <w:rPr>
          <w:rFonts w:ascii="Verdana" w:hAnsi="Verdana"/>
        </w:rPr>
        <w:t>Stripes</w:t>
      </w:r>
      <w:proofErr w:type="spellEnd"/>
      <w:r>
        <w:rPr>
          <w:rFonts w:ascii="Verdana" w:hAnsi="Verdana"/>
        </w:rPr>
        <w:t xml:space="preserve"> ARGB, wentylatory Stella i </w:t>
      </w:r>
      <w:proofErr w:type="spellStart"/>
      <w:r>
        <w:rPr>
          <w:rFonts w:ascii="Verdana" w:hAnsi="Verdana"/>
        </w:rPr>
        <w:t>Corona</w:t>
      </w:r>
      <w:proofErr w:type="spellEnd"/>
      <w:r>
        <w:rPr>
          <w:rFonts w:ascii="Verdana" w:hAnsi="Verdana"/>
        </w:rPr>
        <w:t xml:space="preserve"> w systemie ARGB.</w:t>
      </w:r>
    </w:p>
    <w:p w:rsidR="00C66335" w:rsidRDefault="00C66335">
      <w:pPr>
        <w:pStyle w:val="Bezodstpw"/>
        <w:rPr>
          <w:rFonts w:ascii="Verdana" w:hAnsi="Verdana"/>
        </w:rPr>
      </w:pPr>
    </w:p>
    <w:p w:rsidR="001D36E3" w:rsidRDefault="001D36E3" w:rsidP="001D36E3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Główne cechy obudowy SilentiumPC Ventum VT4V </w:t>
      </w:r>
      <w:proofErr w:type="spellStart"/>
      <w:r>
        <w:rPr>
          <w:rFonts w:ascii="Verdana" w:hAnsi="Verdana"/>
          <w:b/>
        </w:rPr>
        <w:t>Evo</w:t>
      </w:r>
      <w:proofErr w:type="spellEnd"/>
      <w:r>
        <w:rPr>
          <w:rFonts w:ascii="Verdana" w:hAnsi="Verdana"/>
          <w:b/>
        </w:rPr>
        <w:t xml:space="preserve"> TG ARGB White: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Wersja specjalna: w pełni biała z wentylatorami Pulsar HP ARGB.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Przewiewny front typu „</w:t>
      </w:r>
      <w:proofErr w:type="spellStart"/>
      <w:r>
        <w:rPr>
          <w:rFonts w:ascii="Verdana" w:hAnsi="Verdana"/>
        </w:rPr>
        <w:t>mesh</w:t>
      </w:r>
      <w:proofErr w:type="spellEnd"/>
      <w:r>
        <w:rPr>
          <w:rFonts w:ascii="Verdana" w:hAnsi="Verdana"/>
        </w:rPr>
        <w:t>”.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System adresowalnego podświetlenia LED ARGB wraz z kontrolerem.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Cztery wysokociśnieniowe wentylatory z podświetleniem: Pulsar HP ARGB 120 mm CF.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Rozdzielacz na 5 urządzeń ARGB oraz 5 wentylatorów.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Przestronna i dwukomorowa konstrukcja wraz z głęboką zatoką serwisową.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Kompatybilność z systemami chłodzenia cieczą (AIO): 120/140/240/280 mm z przodu, 120/240/280 mm na górze, 120 mm z tyłu.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Możliwość instalacji zestawu chłodzenia CPU wysokiego na 159 mm oraz karty graficznej długiej na 345 mm.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Zestaw filtrów </w:t>
      </w:r>
      <w:proofErr w:type="spellStart"/>
      <w:r>
        <w:rPr>
          <w:rFonts w:ascii="Verdana" w:hAnsi="Verdana"/>
        </w:rPr>
        <w:t>przeciwkurzowych</w:t>
      </w:r>
      <w:proofErr w:type="spellEnd"/>
      <w:r>
        <w:rPr>
          <w:rFonts w:ascii="Verdana" w:hAnsi="Verdana"/>
        </w:rPr>
        <w:t>: na spodzie obudowy, na górze.</w:t>
      </w:r>
    </w:p>
    <w:p w:rsidR="001D36E3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Nośniki danych na złącze SATA: 3 × 2,5” oraz 2 × 3,5”.</w:t>
      </w:r>
    </w:p>
    <w:p w:rsidR="001D36E3" w:rsidRPr="00C57B08" w:rsidRDefault="001D36E3" w:rsidP="001D36E3">
      <w:pPr>
        <w:pStyle w:val="Bezodstpw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System aranżacji okablowania z licznymi przepustami i zaczepami.</w:t>
      </w:r>
    </w:p>
    <w:p w:rsidR="00C66335" w:rsidRDefault="00C66335" w:rsidP="002D10E8">
      <w:pPr>
        <w:pStyle w:val="Bezodstpw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2D10E8" w:rsidRDefault="002D10E8" w:rsidP="002D10E8">
      <w:pPr>
        <w:pStyle w:val="Bezodstpw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Dane techniczn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 obudowy SilentiumPC Ventum VT4</w:t>
      </w:r>
      <w:r w:rsidR="000D6B80">
        <w:rPr>
          <w:rFonts w:ascii="Verdana" w:eastAsia="Times New Roman" w:hAnsi="Verdana" w:cs="Times New Roman"/>
          <w:b/>
          <w:bCs/>
          <w:color w:val="000000"/>
          <w:lang w:eastAsia="pl-PL"/>
        </w:rPr>
        <w:t>V</w:t>
      </w:r>
      <w:r w:rsidR="00C66335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proofErr w:type="spellStart"/>
      <w:r w:rsidR="00C66335">
        <w:rPr>
          <w:rFonts w:ascii="Verdana" w:eastAsia="Times New Roman" w:hAnsi="Verdana" w:cs="Times New Roman"/>
          <w:b/>
          <w:bCs/>
          <w:color w:val="000000"/>
          <w:lang w:eastAsia="pl-PL"/>
        </w:rPr>
        <w:t>Evo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TG</w:t>
      </w:r>
      <w:r w:rsidR="00C66335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ARGB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EAN:</w:t>
      </w:r>
      <w:r>
        <w:rPr>
          <w:rFonts w:ascii="Verdana" w:eastAsia="Times New Roman" w:hAnsi="Verdana" w:cs="Times New Roman"/>
          <w:color w:val="000000"/>
          <w:lang w:eastAsia="pl-PL"/>
        </w:rPr>
        <w:t> 590301866</w:t>
      </w:r>
      <w:r>
        <w:rPr>
          <w:rFonts w:ascii="Verdana" w:eastAsia="Times New Roman" w:hAnsi="Verdana" w:cs="Times New Roman"/>
          <w:color w:val="000000"/>
          <w:lang w:eastAsia="pl-PL"/>
        </w:rPr>
        <w:t>21</w:t>
      </w:r>
      <w:r w:rsidR="00DA46A0">
        <w:rPr>
          <w:rFonts w:ascii="Verdana" w:eastAsia="Times New Roman" w:hAnsi="Verdana" w:cs="Times New Roman"/>
          <w:color w:val="000000"/>
          <w:lang w:eastAsia="pl-PL"/>
        </w:rPr>
        <w:t>52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l-PL"/>
        </w:rPr>
        <w:t xml:space="preserve">Kod produktu: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SPC2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9</w:t>
      </w:r>
      <w:r w:rsidR="00DA46A0"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5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obudowy: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440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>
        <w:rPr>
          <w:rFonts w:ascii="Verdana" w:eastAsia="Times New Roman" w:hAnsi="Verdana" w:cs="Times New Roman"/>
          <w:color w:val="000000"/>
          <w:lang w:eastAsia="pl-PL"/>
        </w:rPr>
        <w:t>210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>
        <w:rPr>
          <w:rFonts w:ascii="Verdana" w:eastAsia="Times New Roman" w:hAnsi="Verdana" w:cs="Times New Roman"/>
          <w:color w:val="000000"/>
          <w:lang w:eastAsia="pl-PL"/>
        </w:rPr>
        <w:t>485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 (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opakowania: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470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>
        <w:rPr>
          <w:rFonts w:ascii="Verdana" w:eastAsia="Times New Roman" w:hAnsi="Verdana" w:cs="Times New Roman"/>
          <w:color w:val="000000"/>
          <w:lang w:eastAsia="pl-PL"/>
        </w:rPr>
        <w:t>252</w:t>
      </w:r>
      <w:r>
        <w:rPr>
          <w:rFonts w:ascii="Verdana" w:eastAsia="Times New Roman" w:hAnsi="Verdana" w:cs="Times New Roman"/>
          <w:color w:val="000000"/>
          <w:lang w:eastAsia="pl-PL"/>
        </w:rPr>
        <w:t>×</w:t>
      </w:r>
      <w:r>
        <w:rPr>
          <w:rFonts w:ascii="Verdana" w:eastAsia="Times New Roman" w:hAnsi="Verdana" w:cs="Times New Roman"/>
          <w:color w:val="000000"/>
          <w:lang w:eastAsia="pl-PL"/>
        </w:rPr>
        <w:t>514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 (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:rsidR="002D10E8" w:rsidRPr="009B5399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netto: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0D6B80">
        <w:rPr>
          <w:rFonts w:ascii="Verdana" w:eastAsia="Times New Roman" w:hAnsi="Verdana" w:cs="Times New Roman"/>
          <w:color w:val="000000"/>
          <w:lang w:eastAsia="pl-PL"/>
        </w:rPr>
        <w:t>6,</w:t>
      </w:r>
      <w:r w:rsidR="00DA46A0">
        <w:rPr>
          <w:rFonts w:ascii="Verdana" w:eastAsia="Times New Roman" w:hAnsi="Verdana" w:cs="Times New Roman"/>
          <w:color w:val="000000"/>
          <w:lang w:eastAsia="pl-PL"/>
        </w:rPr>
        <w:t>30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:rsidR="002D10E8" w:rsidRPr="009B5399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brutto: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0D6B80">
        <w:rPr>
          <w:rFonts w:ascii="Verdana" w:eastAsia="Times New Roman" w:hAnsi="Verdana" w:cs="Times New Roman"/>
          <w:color w:val="000000"/>
          <w:lang w:eastAsia="pl-PL"/>
        </w:rPr>
        <w:t>7,</w:t>
      </w:r>
      <w:r w:rsidR="00DA46A0">
        <w:rPr>
          <w:rFonts w:ascii="Verdana" w:eastAsia="Times New Roman" w:hAnsi="Verdana" w:cs="Times New Roman"/>
          <w:color w:val="000000"/>
          <w:lang w:eastAsia="pl-PL"/>
        </w:rPr>
        <w:t>30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:rsidR="002D10E8" w:rsidRPr="009B5399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Standard: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mITX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/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microATX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/ATX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Liczba zatok: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zewnętrzne: brak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wewnętrzne:</w:t>
      </w:r>
    </w:p>
    <w:p w:rsidR="002D10E8" w:rsidRDefault="002D10E8" w:rsidP="002D10E8">
      <w:pPr>
        <w:pStyle w:val="Bezodstpw"/>
        <w:numPr>
          <w:ilvl w:val="2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× 3,5”</w:t>
      </w:r>
    </w:p>
    <w:p w:rsidR="002D10E8" w:rsidRDefault="002D10E8" w:rsidP="002D10E8">
      <w:pPr>
        <w:pStyle w:val="Bezodstpw"/>
        <w:numPr>
          <w:ilvl w:val="2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3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× 2,5″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Miejsca na karty rozszerzeń</w:t>
      </w:r>
      <w:r>
        <w:rPr>
          <w:rFonts w:ascii="Verdana" w:eastAsia="Times New Roman" w:hAnsi="Verdana" w:cs="Times New Roman"/>
          <w:color w:val="000000"/>
          <w:lang w:eastAsia="pl-PL"/>
        </w:rPr>
        <w:t>: 7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lastRenderedPageBreak/>
        <w:t xml:space="preserve">Filtry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przeciwkurzowe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góra (magnes), dół (magnes), siatka z przodu z otworami o średnicy ~0,9 mm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karty graficznej: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l-PL"/>
        </w:rPr>
        <w:t>345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wysokość chłodzenia CPU: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159 mm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zasilacza</w:t>
      </w:r>
      <w:r>
        <w:rPr>
          <w:rFonts w:ascii="Verdana" w:eastAsia="Times New Roman" w:hAnsi="Verdana" w:cs="Times New Roman"/>
          <w:color w:val="000000"/>
          <w:lang w:eastAsia="pl-PL"/>
        </w:rPr>
        <w:t>: 180 mm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System chłodzenia </w:t>
      </w:r>
      <w:r>
        <w:rPr>
          <w:rFonts w:ascii="Verdana" w:eastAsia="Times New Roman" w:hAnsi="Verdana" w:cs="Times New Roman"/>
          <w:color w:val="000000"/>
          <w:lang w:eastAsia="pl-PL"/>
        </w:rPr>
        <w:t>(</w:t>
      </w:r>
      <w:r w:rsidR="000D6B80">
        <w:rPr>
          <w:rFonts w:ascii="Verdana" w:eastAsia="Times New Roman" w:hAnsi="Verdana" w:cs="Times New Roman"/>
          <w:color w:val="000000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wentylator</w:t>
      </w:r>
      <w:r>
        <w:rPr>
          <w:rFonts w:ascii="Verdana" w:eastAsia="Times New Roman" w:hAnsi="Verdana" w:cs="Times New Roman"/>
          <w:color w:val="000000"/>
          <w:lang w:eastAsia="pl-PL"/>
        </w:rPr>
        <w:t>y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w komplecie, maksimum 8):</w:t>
      </w:r>
    </w:p>
    <w:p w:rsidR="000D6B80" w:rsidRPr="000D6B80" w:rsidRDefault="000D6B80" w:rsidP="000D6B80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Przód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: </w:t>
      </w:r>
      <w:r>
        <w:rPr>
          <w:rFonts w:ascii="Verdana" w:eastAsia="Times New Roman" w:hAnsi="Verdana" w:cs="Times New Roman"/>
          <w:color w:val="000000"/>
          <w:lang w:val="en-GB" w:eastAsia="pl-PL"/>
        </w:rPr>
        <w:t>3</w:t>
      </w:r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 × </w:t>
      </w:r>
      <w:r w:rsidR="00DA46A0">
        <w:rPr>
          <w:rFonts w:ascii="Verdana" w:eastAsia="Times New Roman" w:hAnsi="Verdana" w:cs="Times New Roman"/>
          <w:color w:val="000000"/>
          <w:lang w:val="en-GB" w:eastAsia="pl-PL"/>
        </w:rPr>
        <w:t>Pulsar</w:t>
      </w:r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 HP </w:t>
      </w:r>
      <w:r w:rsidR="00222688"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120 mm </w:t>
      </w:r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CF </w:t>
      </w:r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(</w:t>
      </w: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Pr="00591FAF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:rsidR="002D10E8" w:rsidRDefault="00DA46A0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Tył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>: 1 × Pulsar</w:t>
      </w:r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 HP </w:t>
      </w:r>
      <w:r w:rsidR="00222688"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120 mm </w:t>
      </w:r>
      <w:r w:rsidR="002D10E8">
        <w:rPr>
          <w:rFonts w:ascii="Verdana" w:eastAsia="Times New Roman" w:hAnsi="Verdana" w:cs="Times New Roman"/>
          <w:color w:val="000000"/>
          <w:lang w:val="en-GB" w:eastAsia="pl-PL"/>
        </w:rPr>
        <w:t xml:space="preserve">CF </w:t>
      </w:r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>(</w:t>
      </w:r>
      <w:proofErr w:type="spellStart"/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="002D10E8" w:rsidRPr="00591FAF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Kompatybilność z AIO: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Przód:</w:t>
      </w:r>
    </w:p>
    <w:p w:rsidR="002D10E8" w:rsidRDefault="002D10E8" w:rsidP="002D10E8">
      <w:pPr>
        <w:pStyle w:val="Bezodstpw"/>
        <w:numPr>
          <w:ilvl w:val="2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120/140/240/280 mm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Góra:</w:t>
      </w:r>
    </w:p>
    <w:p w:rsidR="002D10E8" w:rsidRDefault="002D10E8" w:rsidP="002D10E8">
      <w:pPr>
        <w:pStyle w:val="Bezodstpw"/>
        <w:numPr>
          <w:ilvl w:val="2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</w:t>
      </w:r>
      <w:r>
        <w:rPr>
          <w:rFonts w:ascii="Verdana" w:eastAsia="Times New Roman" w:hAnsi="Verdana" w:cs="Times New Roman"/>
          <w:color w:val="000000"/>
          <w:lang w:eastAsia="pl-PL"/>
        </w:rPr>
        <w:t>140/</w:t>
      </w:r>
      <w:r>
        <w:rPr>
          <w:rFonts w:ascii="Verdana" w:eastAsia="Times New Roman" w:hAnsi="Verdana" w:cs="Times New Roman"/>
          <w:color w:val="000000"/>
          <w:lang w:eastAsia="pl-PL"/>
        </w:rPr>
        <w:t>240</w:t>
      </w:r>
      <w:r>
        <w:rPr>
          <w:rFonts w:ascii="Verdana" w:eastAsia="Times New Roman" w:hAnsi="Verdana" w:cs="Times New Roman"/>
          <w:color w:val="000000"/>
          <w:lang w:eastAsia="pl-PL"/>
        </w:rPr>
        <w:t>/280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Tył:</w:t>
      </w:r>
    </w:p>
    <w:p w:rsidR="002D10E8" w:rsidRDefault="002D10E8" w:rsidP="002D10E8">
      <w:pPr>
        <w:pStyle w:val="Bezodstpw"/>
        <w:numPr>
          <w:ilvl w:val="2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 mm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Porty, kontrolery i przyciski na panelu górnym: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USB 3.2 gen 1 (podłączane wewnętrznie)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słuchawki (HD Audio)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mikrofon (HD Audio)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POWER</w:t>
      </w:r>
    </w:p>
    <w:p w:rsidR="002D10E8" w:rsidRDefault="002D10E8" w:rsidP="002D10E8">
      <w:pPr>
        <w:pStyle w:val="Bezodstpw"/>
        <w:numPr>
          <w:ilvl w:val="1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RESET</w:t>
      </w:r>
      <w:r w:rsidR="00CB76B0">
        <w:rPr>
          <w:rFonts w:ascii="Verdana" w:eastAsia="Times New Roman" w:hAnsi="Verdana" w:cs="Times New Roman"/>
          <w:color w:val="000000"/>
          <w:lang w:eastAsia="pl-PL"/>
        </w:rPr>
        <w:t>/LED</w:t>
      </w:r>
    </w:p>
    <w:p w:rsidR="00C66335" w:rsidRPr="00C66335" w:rsidRDefault="00C66335" w:rsidP="00C66335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 w:rsidRPr="00591FAF">
        <w:rPr>
          <w:rFonts w:ascii="Verdana" w:eastAsia="Times New Roman" w:hAnsi="Verdana" w:cs="Times New Roman"/>
          <w:b/>
          <w:color w:val="000000"/>
          <w:lang w:eastAsia="pl-PL"/>
        </w:rPr>
        <w:t>Kontroler</w:t>
      </w:r>
      <w:r>
        <w:rPr>
          <w:rFonts w:ascii="Verdana" w:eastAsia="Times New Roman" w:hAnsi="Verdana" w:cs="Times New Roman"/>
          <w:color w:val="000000"/>
          <w:lang w:eastAsia="pl-PL"/>
        </w:rPr>
        <w:t>: Nano-Reset ARGB (w komplecie) z rozgałęziaczem.</w:t>
      </w:r>
    </w:p>
    <w:p w:rsid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Zasilacz (standard ATX PS2):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brak w komplecie</w:t>
      </w:r>
    </w:p>
    <w:p w:rsidR="002D10E8" w:rsidRDefault="002D10E8" w:rsidP="002D10E8">
      <w:pPr>
        <w:pStyle w:val="Bezodstpw"/>
        <w:rPr>
          <w:rFonts w:ascii="Verdana" w:hAnsi="Verdana"/>
        </w:rPr>
      </w:pPr>
    </w:p>
    <w:p w:rsidR="002D10E8" w:rsidRPr="00EF0B92" w:rsidRDefault="002D10E8" w:rsidP="002D10E8">
      <w:pPr>
        <w:pStyle w:val="Bezodstpw"/>
        <w:rPr>
          <w:rFonts w:ascii="Verdana" w:hAnsi="Verdana"/>
          <w:b/>
        </w:rPr>
      </w:pPr>
      <w:r w:rsidRPr="00EF0B92">
        <w:rPr>
          <w:rFonts w:ascii="Verdana" w:hAnsi="Verdana"/>
          <w:b/>
        </w:rPr>
        <w:t>Zestaw zawiera:</w:t>
      </w:r>
    </w:p>
    <w:p w:rsidR="002D10E8" w:rsidRPr="00DA46A0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hAnsi="Verdana"/>
          <w:lang w:val="en-GB"/>
        </w:rPr>
      </w:pPr>
      <w:proofErr w:type="spellStart"/>
      <w:r w:rsidRPr="00DA46A0">
        <w:rPr>
          <w:rFonts w:ascii="Verdana" w:hAnsi="Verdana"/>
          <w:lang w:val="en-GB"/>
        </w:rPr>
        <w:t>obudowa</w:t>
      </w:r>
      <w:proofErr w:type="spellEnd"/>
      <w:r w:rsidRPr="00DA46A0">
        <w:rPr>
          <w:rFonts w:ascii="Verdana" w:hAnsi="Verdana"/>
          <w:lang w:val="en-GB"/>
        </w:rPr>
        <w:t xml:space="preserve"> SilentiumPC Ventum VT</w:t>
      </w:r>
      <w:r w:rsidRPr="00DA46A0">
        <w:rPr>
          <w:rFonts w:ascii="Verdana" w:hAnsi="Verdana"/>
          <w:lang w:val="en-GB"/>
        </w:rPr>
        <w:t>4</w:t>
      </w:r>
      <w:r w:rsidR="00DA02D3" w:rsidRPr="00DA46A0">
        <w:rPr>
          <w:rFonts w:ascii="Verdana" w:hAnsi="Verdana"/>
          <w:lang w:val="en-GB"/>
        </w:rPr>
        <w:t>V</w:t>
      </w:r>
      <w:r w:rsidRPr="00DA46A0">
        <w:rPr>
          <w:rFonts w:ascii="Verdana" w:hAnsi="Verdana"/>
          <w:lang w:val="en-GB"/>
        </w:rPr>
        <w:t xml:space="preserve"> </w:t>
      </w:r>
      <w:proofErr w:type="spellStart"/>
      <w:r w:rsidR="00C66335" w:rsidRPr="00DA46A0">
        <w:rPr>
          <w:rFonts w:ascii="Verdana" w:hAnsi="Verdana"/>
          <w:lang w:val="en-GB"/>
        </w:rPr>
        <w:t>Evo</w:t>
      </w:r>
      <w:proofErr w:type="spellEnd"/>
      <w:r w:rsidR="00C66335" w:rsidRPr="00DA46A0">
        <w:rPr>
          <w:rFonts w:ascii="Verdana" w:hAnsi="Verdana"/>
          <w:lang w:val="en-GB"/>
        </w:rPr>
        <w:t xml:space="preserve"> </w:t>
      </w:r>
      <w:r w:rsidRPr="00DA46A0">
        <w:rPr>
          <w:rFonts w:ascii="Verdana" w:hAnsi="Verdana"/>
          <w:lang w:val="en-GB"/>
        </w:rPr>
        <w:t>TG</w:t>
      </w:r>
      <w:r w:rsidR="00C66335" w:rsidRPr="00DA46A0">
        <w:rPr>
          <w:rFonts w:ascii="Verdana" w:hAnsi="Verdana"/>
          <w:lang w:val="en-GB"/>
        </w:rPr>
        <w:t xml:space="preserve"> ARGB</w:t>
      </w:r>
      <w:r w:rsidR="00DA46A0" w:rsidRPr="00DA46A0">
        <w:rPr>
          <w:rFonts w:ascii="Verdana" w:hAnsi="Verdana"/>
          <w:lang w:val="en-GB"/>
        </w:rPr>
        <w:t xml:space="preserve"> White</w:t>
      </w:r>
      <w:r w:rsidRPr="00DA46A0">
        <w:rPr>
          <w:rFonts w:ascii="Verdana" w:hAnsi="Verdana"/>
          <w:lang w:val="en-GB"/>
        </w:rPr>
        <w:t>,</w:t>
      </w:r>
    </w:p>
    <w:p w:rsidR="002D10E8" w:rsidRPr="00C66335" w:rsidRDefault="00DA02D3" w:rsidP="002D10E8">
      <w:pPr>
        <w:pStyle w:val="Bezodstpw"/>
        <w:numPr>
          <w:ilvl w:val="0"/>
          <w:numId w:val="4"/>
        </w:numPr>
        <w:suppressAutoHyphens w:val="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4</w:t>
      </w:r>
      <w:r w:rsidR="002D10E8" w:rsidRPr="00EF0B92">
        <w:rPr>
          <w:rFonts w:ascii="Verdana" w:hAnsi="Verdana"/>
          <w:lang w:val="en-GB"/>
        </w:rPr>
        <w:t xml:space="preserve"> </w:t>
      </w:r>
      <w:proofErr w:type="spellStart"/>
      <w:r w:rsidR="002D10E8" w:rsidRPr="00EF0B92">
        <w:rPr>
          <w:rFonts w:ascii="Verdana" w:eastAsia="Times New Roman" w:hAnsi="Verdana" w:cs="Times New Roman"/>
          <w:color w:val="000000"/>
          <w:lang w:val="en-GB" w:eastAsia="pl-PL"/>
        </w:rPr>
        <w:t>wentylator</w:t>
      </w:r>
      <w:r w:rsidR="002D10E8">
        <w:rPr>
          <w:rFonts w:ascii="Verdana" w:eastAsia="Times New Roman" w:hAnsi="Verdana" w:cs="Times New Roman"/>
          <w:color w:val="000000"/>
          <w:lang w:val="en-GB" w:eastAsia="pl-PL"/>
        </w:rPr>
        <w:t>y</w:t>
      </w:r>
      <w:proofErr w:type="spellEnd"/>
      <w:r w:rsidR="002D10E8" w:rsidRPr="00EF0B92"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r w:rsidR="00DA46A0">
        <w:rPr>
          <w:rFonts w:ascii="Verdana" w:eastAsia="Times New Roman" w:hAnsi="Verdana" w:cs="Times New Roman"/>
          <w:color w:val="000000"/>
          <w:lang w:val="en-GB" w:eastAsia="pl-PL"/>
        </w:rPr>
        <w:t>Pulsar</w:t>
      </w:r>
      <w:r w:rsidR="002D10E8" w:rsidRPr="00EF0B92">
        <w:rPr>
          <w:rFonts w:ascii="Verdana" w:eastAsia="Times New Roman" w:hAnsi="Verdana" w:cs="Times New Roman"/>
          <w:color w:val="000000"/>
          <w:lang w:val="en-GB" w:eastAsia="pl-PL"/>
        </w:rPr>
        <w:t xml:space="preserve"> HP </w:t>
      </w:r>
      <w:r w:rsidR="00C66335"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="002D10E8" w:rsidRPr="00EF0B92">
        <w:rPr>
          <w:rFonts w:ascii="Verdana" w:eastAsia="Times New Roman" w:hAnsi="Verdana" w:cs="Times New Roman"/>
          <w:color w:val="000000"/>
          <w:lang w:val="en-GB" w:eastAsia="pl-PL"/>
        </w:rPr>
        <w:t>120 mm</w:t>
      </w:r>
      <w:r w:rsidR="002D10E8">
        <w:rPr>
          <w:rFonts w:ascii="Verdana" w:eastAsia="Times New Roman" w:hAnsi="Verdana" w:cs="Times New Roman"/>
          <w:color w:val="000000"/>
          <w:lang w:val="en-GB" w:eastAsia="pl-PL"/>
        </w:rPr>
        <w:t xml:space="preserve"> CF</w:t>
      </w:r>
      <w:r w:rsidR="002D10E8" w:rsidRPr="00EF0B92">
        <w:rPr>
          <w:rFonts w:ascii="Verdana" w:eastAsia="Times New Roman" w:hAnsi="Verdana" w:cs="Times New Roman"/>
          <w:color w:val="000000"/>
          <w:lang w:val="en-GB" w:eastAsia="pl-PL"/>
        </w:rPr>
        <w:t>,</w:t>
      </w:r>
    </w:p>
    <w:p w:rsidR="00C66335" w:rsidRPr="00C66335" w:rsidRDefault="00C66335" w:rsidP="002D10E8">
      <w:pPr>
        <w:pStyle w:val="Bezodstpw"/>
        <w:numPr>
          <w:ilvl w:val="0"/>
          <w:numId w:val="4"/>
        </w:numPr>
        <w:suppressAutoHyphens w:val="0"/>
        <w:rPr>
          <w:rFonts w:ascii="Verdana" w:hAnsi="Verdana"/>
        </w:rPr>
      </w:pPr>
      <w:r w:rsidRPr="00C66335">
        <w:rPr>
          <w:rFonts w:ascii="Verdana" w:eastAsia="Times New Roman" w:hAnsi="Verdana" w:cs="Times New Roman"/>
          <w:color w:val="000000"/>
          <w:lang w:eastAsia="pl-PL"/>
        </w:rPr>
        <w:t>kontroler Nano-Reset ARGB wraz z rozgałęziaczem,</w:t>
      </w:r>
    </w:p>
    <w:p w:rsidR="002D10E8" w:rsidRPr="002D10E8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hAnsi="Verdana"/>
          <w:lang w:val="en-GB"/>
        </w:rPr>
      </w:pP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akcesoria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montażowe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>,</w:t>
      </w:r>
    </w:p>
    <w:p w:rsidR="002D10E8" w:rsidRPr="00EF0B92" w:rsidRDefault="002D10E8" w:rsidP="002D10E8">
      <w:pPr>
        <w:pStyle w:val="Bezodstpw"/>
        <w:numPr>
          <w:ilvl w:val="0"/>
          <w:numId w:val="4"/>
        </w:numPr>
        <w:suppressAutoHyphens w:val="0"/>
        <w:rPr>
          <w:rFonts w:ascii="Verdana" w:hAnsi="Verdana"/>
          <w:lang w:val="en-GB"/>
        </w:rPr>
      </w:pPr>
      <w:r>
        <w:rPr>
          <w:rFonts w:ascii="Verdana" w:eastAsia="Times New Roman" w:hAnsi="Verdana" w:cs="Times New Roman"/>
          <w:color w:val="000000"/>
          <w:lang w:val="en-GB" w:eastAsia="pl-PL"/>
        </w:rPr>
        <w:t>PC Speaker.</w:t>
      </w:r>
    </w:p>
    <w:p w:rsidR="00FD0DA3" w:rsidRDefault="00FD0DA3" w:rsidP="00FD0DA3">
      <w:pPr>
        <w:pStyle w:val="Bezodstpw"/>
        <w:rPr>
          <w:rFonts w:ascii="Verdana" w:hAnsi="Verdana"/>
        </w:rPr>
      </w:pPr>
    </w:p>
    <w:sectPr w:rsidR="00FD0D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025"/>
    <w:multiLevelType w:val="multilevel"/>
    <w:tmpl w:val="E04C767C"/>
    <w:lvl w:ilvl="0">
      <w:start w:val="30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2414CE"/>
    <w:multiLevelType w:val="multilevel"/>
    <w:tmpl w:val="9E1E7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481ABE"/>
    <w:multiLevelType w:val="multilevel"/>
    <w:tmpl w:val="653076E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8E64929"/>
    <w:multiLevelType w:val="hybridMultilevel"/>
    <w:tmpl w:val="7C462B5C"/>
    <w:lvl w:ilvl="0" w:tplc="D2ACB9D6">
      <w:start w:val="3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pl-PL"/>
      </w:rPr>
    </w:lvl>
    <w:lvl w:ilvl="1" w:tplc="A6441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pl-P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23"/>
    <w:rsid w:val="00042F12"/>
    <w:rsid w:val="000D6B80"/>
    <w:rsid w:val="001D36E3"/>
    <w:rsid w:val="00222688"/>
    <w:rsid w:val="002A043A"/>
    <w:rsid w:val="002D10E8"/>
    <w:rsid w:val="003468D5"/>
    <w:rsid w:val="00432F83"/>
    <w:rsid w:val="007D135E"/>
    <w:rsid w:val="00843323"/>
    <w:rsid w:val="009975F0"/>
    <w:rsid w:val="00A55023"/>
    <w:rsid w:val="00C2293E"/>
    <w:rsid w:val="00C57B08"/>
    <w:rsid w:val="00C66335"/>
    <w:rsid w:val="00CB76B0"/>
    <w:rsid w:val="00DA02D3"/>
    <w:rsid w:val="00DA46A0"/>
    <w:rsid w:val="00DD1387"/>
    <w:rsid w:val="00E33FED"/>
    <w:rsid w:val="00EC7038"/>
    <w:rsid w:val="00FD0DA3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Bezodstpw">
    <w:name w:val="No Spacing"/>
    <w:uiPriority w:val="1"/>
    <w:qFormat/>
    <w:rsid w:val="0032139B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Bezodstpw">
    <w:name w:val="No Spacing"/>
    <w:uiPriority w:val="1"/>
    <w:qFormat/>
    <w:rsid w:val="0032139B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5</cp:revision>
  <dcterms:created xsi:type="dcterms:W3CDTF">2020-12-15T15:14:00Z</dcterms:created>
  <dcterms:modified xsi:type="dcterms:W3CDTF">2020-12-15T16:09:00Z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