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F6C2" w14:textId="77777777" w:rsidR="0009482A" w:rsidRDefault="0009482A" w:rsidP="0000250F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Obudowa </w:t>
      </w:r>
      <w:proofErr w:type="spellStart"/>
      <w:r>
        <w:rPr>
          <w:rFonts w:ascii="Verdana" w:hAnsi="Verdana"/>
        </w:rPr>
        <w:t>Signum</w:t>
      </w:r>
      <w:proofErr w:type="spellEnd"/>
      <w:r>
        <w:rPr>
          <w:rFonts w:ascii="Verdana" w:hAnsi="Verdana"/>
        </w:rPr>
        <w:t xml:space="preserve"> SG1X</w:t>
      </w:r>
      <w:r w:rsidR="00EB6FD5" w:rsidRPr="001A7CE3">
        <w:rPr>
          <w:rFonts w:ascii="Verdana" w:hAnsi="Verdana"/>
        </w:rPr>
        <w:t xml:space="preserve"> </w:t>
      </w:r>
      <w:proofErr w:type="spellStart"/>
      <w:r w:rsidR="00EB6FD5" w:rsidRPr="001A7CE3">
        <w:rPr>
          <w:rFonts w:ascii="Verdana" w:hAnsi="Verdana"/>
        </w:rPr>
        <w:t>Evo</w:t>
      </w:r>
      <w:proofErr w:type="spellEnd"/>
      <w:r w:rsidR="00EB6FD5" w:rsidRPr="001A7CE3">
        <w:rPr>
          <w:rFonts w:ascii="Verdana" w:hAnsi="Verdana"/>
        </w:rPr>
        <w:t xml:space="preserve"> TG ARGB </w:t>
      </w:r>
      <w:r>
        <w:rPr>
          <w:rFonts w:ascii="Verdana" w:hAnsi="Verdana"/>
        </w:rPr>
        <w:t xml:space="preserve">wyróżnia się dwoma panelami ze szkła hartowanego (z przodu oraz z boku) i rozbudowanym systemem adresowalnego podświetlenia LED ARGB. Tworzą go aż cztery wysokociśnieniowe wentylatory Stella HP ARGB CF 120 mm, doskonale widoczne przez szklany panel, a także dołączony do zestawu zaawansowany kontroler Nano-Reset ARGB. Jest to korzystnie wyceniona propozycja dla użytkowników, którzy chcą zbudować estetycznie skonfigurowany komputer z efektownym podświetleniem ARGB. </w:t>
      </w:r>
    </w:p>
    <w:p w14:paraId="0F042587" w14:textId="77777777" w:rsidR="0009482A" w:rsidRDefault="0009482A" w:rsidP="0000250F">
      <w:pPr>
        <w:pStyle w:val="Bezodstpw"/>
        <w:rPr>
          <w:rFonts w:ascii="Verdana" w:hAnsi="Verdana"/>
        </w:rPr>
      </w:pPr>
    </w:p>
    <w:p w14:paraId="2D207699" w14:textId="77777777" w:rsidR="0009482A" w:rsidRPr="00311C74" w:rsidRDefault="0009482A" w:rsidP="0009482A">
      <w:pPr>
        <w:pStyle w:val="Bezodstpw"/>
        <w:rPr>
          <w:rFonts w:ascii="Verdana" w:hAnsi="Verdana"/>
          <w:b/>
        </w:rPr>
      </w:pPr>
      <w:r w:rsidRPr="00311C74">
        <w:rPr>
          <w:rFonts w:ascii="Verdana" w:hAnsi="Verdana"/>
          <w:b/>
        </w:rPr>
        <w:t>System adresowalnego podświetlenia LED ARGB</w:t>
      </w:r>
    </w:p>
    <w:p w14:paraId="5172A6A8" w14:textId="77777777" w:rsidR="0009482A" w:rsidRDefault="0009482A" w:rsidP="0009482A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Obudowa </w:t>
      </w:r>
      <w:proofErr w:type="spellStart"/>
      <w:r>
        <w:rPr>
          <w:rFonts w:ascii="Verdana" w:hAnsi="Verdana"/>
        </w:rPr>
        <w:t>SilentiumPC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Signum</w:t>
      </w:r>
      <w:proofErr w:type="spellEnd"/>
      <w:r>
        <w:rPr>
          <w:rFonts w:ascii="Verdana" w:hAnsi="Verdana"/>
        </w:rPr>
        <w:t xml:space="preserve"> SG1X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 wyposażona jest w system adresowalnego podświetlenia LED w postaci czterech wentylatorów Stella HP ARGB CF 120 mm oraz dołączonego kontrolera Nano-Reset ARGB. Umożliwia on sterowanie kolorami oraz efektami za pomocą przycisku z przodu obudowy. System podświetlenia może być zsynchronizowany z kompatybilną płytą główną wyposażoną w 3-pinowe złącze ARGB w systemie 2+1. Mowa o następujących rozwiązaniach: </w:t>
      </w:r>
      <w:proofErr w:type="spellStart"/>
      <w:r>
        <w:rPr>
          <w:rFonts w:ascii="Verdana" w:hAnsi="Verdana"/>
        </w:rPr>
        <w:t>ASRock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Polychrome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Sync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Asus</w:t>
      </w:r>
      <w:proofErr w:type="spellEnd"/>
      <w:r>
        <w:rPr>
          <w:rFonts w:ascii="Verdana" w:hAnsi="Verdana"/>
        </w:rPr>
        <w:t xml:space="preserve"> Aura </w:t>
      </w:r>
      <w:proofErr w:type="spellStart"/>
      <w:r>
        <w:rPr>
          <w:rFonts w:ascii="Verdana" w:hAnsi="Verdana"/>
        </w:rPr>
        <w:t>Sync</w:t>
      </w:r>
      <w:proofErr w:type="spellEnd"/>
      <w:r>
        <w:rPr>
          <w:rFonts w:ascii="Verdana" w:hAnsi="Verdana"/>
        </w:rPr>
        <w:t xml:space="preserve"> oraz MSI </w:t>
      </w:r>
      <w:proofErr w:type="spellStart"/>
      <w:r>
        <w:rPr>
          <w:rFonts w:ascii="Verdana" w:hAnsi="Verdana"/>
        </w:rPr>
        <w:t>Mystic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Light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Gigabyte</w:t>
      </w:r>
      <w:proofErr w:type="spellEnd"/>
      <w:r>
        <w:rPr>
          <w:rFonts w:ascii="Verdana" w:hAnsi="Verdana"/>
        </w:rPr>
        <w:t xml:space="preserve"> RGB Fusion (2+1-pin) na większości płyt głównych tego producenta obsługiwany jest natywnie, w pozostałych przypadkach wymaga użycia seryjnej przejściówki. Inne systemy adresowalnego oświetlenia również są obsługiwane, jeśli kompatybilne z wymienionymi. Dołączony rozgałęziacz umożliwia podłączenie do 5 wentylatorów i 5 urządzeń ARGB w celu wpięcia ich w jedno gniazdo FAN i jedno gniazdo ARGB w płycie głównej lub kontrolerze.</w:t>
      </w:r>
    </w:p>
    <w:p w14:paraId="36705FC6" w14:textId="77777777" w:rsidR="0009482A" w:rsidRDefault="0009482A" w:rsidP="0009482A">
      <w:pPr>
        <w:pStyle w:val="Bezodstpw"/>
        <w:rPr>
          <w:rFonts w:ascii="Verdana" w:hAnsi="Verdana"/>
        </w:rPr>
      </w:pPr>
    </w:p>
    <w:p w14:paraId="1016FDE8" w14:textId="77777777" w:rsidR="0009482A" w:rsidRDefault="0009482A" w:rsidP="0009482A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System adresowalnego podświetlenia LED ARGB (5V) jest w pełni kompatybilny z innymi urządzeniami SilentiumPC ARGB. To m.in. zestawy zintegrowanego chłodzenia cieczą </w:t>
      </w:r>
      <w:proofErr w:type="spellStart"/>
      <w:r>
        <w:rPr>
          <w:rFonts w:ascii="Verdana" w:hAnsi="Verdana"/>
        </w:rPr>
        <w:t>Navis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ARGB, </w:t>
      </w:r>
      <w:proofErr w:type="spellStart"/>
      <w:r>
        <w:rPr>
          <w:rFonts w:ascii="Verdana" w:hAnsi="Verdana"/>
        </w:rPr>
        <w:t>coolery</w:t>
      </w:r>
      <w:proofErr w:type="spellEnd"/>
      <w:r>
        <w:rPr>
          <w:rFonts w:ascii="Verdana" w:hAnsi="Verdana"/>
        </w:rPr>
        <w:t xml:space="preserve"> powietrzne z podświetleniem ARGB, paski LED Aurora </w:t>
      </w:r>
      <w:proofErr w:type="spellStart"/>
      <w:r>
        <w:rPr>
          <w:rFonts w:ascii="Verdana" w:hAnsi="Verdana"/>
        </w:rPr>
        <w:t>Stripes</w:t>
      </w:r>
      <w:proofErr w:type="spellEnd"/>
      <w:r>
        <w:rPr>
          <w:rFonts w:ascii="Verdana" w:hAnsi="Verdana"/>
        </w:rPr>
        <w:t xml:space="preserve"> ARGB</w:t>
      </w:r>
      <w:r w:rsidRPr="002B165B">
        <w:rPr>
          <w:rFonts w:ascii="Verdana" w:hAnsi="Verdana"/>
        </w:rPr>
        <w:t xml:space="preserve">, wentylatory Stella HP i </w:t>
      </w:r>
      <w:proofErr w:type="spellStart"/>
      <w:r w:rsidRPr="002B165B">
        <w:rPr>
          <w:rFonts w:ascii="Verdana" w:hAnsi="Verdana"/>
        </w:rPr>
        <w:t>Corona</w:t>
      </w:r>
      <w:proofErr w:type="spellEnd"/>
      <w:r w:rsidRPr="002B165B">
        <w:rPr>
          <w:rFonts w:ascii="Verdana" w:hAnsi="Verdana"/>
        </w:rPr>
        <w:t xml:space="preserve"> HP w systemie </w:t>
      </w:r>
      <w:r>
        <w:rPr>
          <w:rFonts w:ascii="Verdana" w:hAnsi="Verdana"/>
        </w:rPr>
        <w:t>A</w:t>
      </w:r>
      <w:r w:rsidRPr="002B165B">
        <w:rPr>
          <w:rFonts w:ascii="Verdana" w:hAnsi="Verdana"/>
        </w:rPr>
        <w:t>RGB.</w:t>
      </w:r>
    </w:p>
    <w:p w14:paraId="5D1771FD" w14:textId="77777777" w:rsidR="0009482A" w:rsidRDefault="0009482A" w:rsidP="0000250F">
      <w:pPr>
        <w:pStyle w:val="Bezodstpw"/>
        <w:rPr>
          <w:rFonts w:ascii="Verdana" w:hAnsi="Verdana"/>
        </w:rPr>
      </w:pPr>
    </w:p>
    <w:p w14:paraId="677CE667" w14:textId="77777777" w:rsidR="0009482A" w:rsidRDefault="00925FC3" w:rsidP="0000250F">
      <w:pPr>
        <w:pStyle w:val="Bezodstpw"/>
        <w:rPr>
          <w:rFonts w:ascii="Verdana" w:hAnsi="Verdana"/>
        </w:rPr>
      </w:pPr>
      <w:r>
        <w:rPr>
          <w:rFonts w:ascii="Verdana" w:hAnsi="Verdana"/>
        </w:rPr>
        <w:t>Pojemna konstrukcja</w:t>
      </w:r>
    </w:p>
    <w:p w14:paraId="3D9FE20C" w14:textId="77777777" w:rsidR="00DD1C89" w:rsidRDefault="00DD1C89" w:rsidP="0000250F">
      <w:pPr>
        <w:pStyle w:val="Bezodstpw"/>
        <w:rPr>
          <w:rFonts w:ascii="Verdana" w:hAnsi="Verdana"/>
        </w:rPr>
      </w:pPr>
      <w:r w:rsidRPr="001A7CE3">
        <w:rPr>
          <w:rFonts w:ascii="Verdana" w:hAnsi="Verdana"/>
        </w:rPr>
        <w:t>P</w:t>
      </w:r>
      <w:r w:rsidR="00925FC3">
        <w:rPr>
          <w:rFonts w:ascii="Verdana" w:hAnsi="Verdana"/>
        </w:rPr>
        <w:t xml:space="preserve">rzestronna struktura </w:t>
      </w:r>
      <w:proofErr w:type="spellStart"/>
      <w:r w:rsidR="00925FC3">
        <w:rPr>
          <w:rFonts w:ascii="Verdana" w:hAnsi="Verdana"/>
        </w:rPr>
        <w:t>Signum</w:t>
      </w:r>
      <w:proofErr w:type="spellEnd"/>
      <w:r w:rsidR="00925FC3">
        <w:rPr>
          <w:rFonts w:ascii="Verdana" w:hAnsi="Verdana"/>
        </w:rPr>
        <w:t xml:space="preserve"> SG1X</w:t>
      </w:r>
      <w:r w:rsidRPr="001A7CE3">
        <w:rPr>
          <w:rFonts w:ascii="Verdana" w:hAnsi="Verdana"/>
        </w:rPr>
        <w:t xml:space="preserve"> </w:t>
      </w:r>
      <w:proofErr w:type="spellStart"/>
      <w:r w:rsidRPr="001A7CE3">
        <w:rPr>
          <w:rFonts w:ascii="Verdana" w:hAnsi="Verdana"/>
        </w:rPr>
        <w:t>Evo</w:t>
      </w:r>
      <w:proofErr w:type="spellEnd"/>
      <w:r w:rsidRPr="001A7CE3">
        <w:rPr>
          <w:rFonts w:ascii="Verdana" w:hAnsi="Verdana"/>
        </w:rPr>
        <w:t xml:space="preserve"> TG ARGB zapewnia wystarczającą ilość miejsca na większość popularnych w tym segmencie komponentów: powietrzny system chłodzenia może mieć wysokość 161 mm, zaś karta graficzna może </w:t>
      </w:r>
      <w:r w:rsidR="001328B1" w:rsidRPr="001A7CE3">
        <w:rPr>
          <w:rFonts w:ascii="Verdana" w:hAnsi="Verdana"/>
        </w:rPr>
        <w:t>być długa na</w:t>
      </w:r>
      <w:r w:rsidR="00925FC3">
        <w:rPr>
          <w:rFonts w:ascii="Verdana" w:hAnsi="Verdana"/>
        </w:rPr>
        <w:t xml:space="preserve"> 325 mm. </w:t>
      </w:r>
      <w:r w:rsidRPr="001A7CE3">
        <w:rPr>
          <w:rFonts w:ascii="Verdana" w:hAnsi="Verdana"/>
        </w:rPr>
        <w:t xml:space="preserve">Rozbudowany system chłodzenia – cztery wentylatory Stella HP ARGB CF 120 </w:t>
      </w:r>
      <w:r w:rsidR="00925FC3">
        <w:rPr>
          <w:rFonts w:ascii="Verdana" w:hAnsi="Verdana"/>
        </w:rPr>
        <w:t xml:space="preserve">mm </w:t>
      </w:r>
      <w:r w:rsidRPr="001A7CE3">
        <w:rPr>
          <w:rFonts w:ascii="Verdana" w:hAnsi="Verdana"/>
        </w:rPr>
        <w:t>– zapewni odpowiedni poziom wentylacji</w:t>
      </w:r>
      <w:r w:rsidR="00171A22" w:rsidRPr="001A7CE3">
        <w:rPr>
          <w:rFonts w:ascii="Verdana" w:hAnsi="Verdana"/>
        </w:rPr>
        <w:t xml:space="preserve">, by </w:t>
      </w:r>
      <w:r w:rsidR="00925FC3">
        <w:rPr>
          <w:rFonts w:ascii="Verdana" w:hAnsi="Verdana"/>
        </w:rPr>
        <w:t xml:space="preserve">utrzymać w ryzach </w:t>
      </w:r>
      <w:r w:rsidR="00171A22" w:rsidRPr="001A7CE3">
        <w:rPr>
          <w:rFonts w:ascii="Verdana" w:hAnsi="Verdana"/>
        </w:rPr>
        <w:t>temperatury podzespołów</w:t>
      </w:r>
      <w:r w:rsidR="00925FC3">
        <w:rPr>
          <w:rFonts w:ascii="Verdana" w:hAnsi="Verdana"/>
        </w:rPr>
        <w:t>.</w:t>
      </w:r>
    </w:p>
    <w:p w14:paraId="39AFBE07" w14:textId="77777777" w:rsidR="00540EA6" w:rsidRDefault="00540EA6" w:rsidP="0000250F">
      <w:pPr>
        <w:pStyle w:val="Bezodstpw"/>
        <w:rPr>
          <w:rFonts w:ascii="Verdana" w:hAnsi="Verdana"/>
        </w:rPr>
      </w:pPr>
    </w:p>
    <w:p w14:paraId="2619D9F4" w14:textId="77777777" w:rsidR="00540EA6" w:rsidRDefault="00540EA6" w:rsidP="0000250F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Jednocześnie, użytkownik może zainstalować zintegrowany system chłodzenia cieczą </w:t>
      </w: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>-In-One (AIO). Z przodu zmieszczą się chłodnice w rozmiarze 120, 240 lub 360</w:t>
      </w:r>
      <w:r w:rsidR="00013997">
        <w:rPr>
          <w:rFonts w:ascii="Verdana" w:hAnsi="Verdana"/>
        </w:rPr>
        <w:t xml:space="preserve"> mm</w:t>
      </w:r>
      <w:r>
        <w:rPr>
          <w:rFonts w:ascii="Verdana" w:hAnsi="Verdana"/>
        </w:rPr>
        <w:t>. Na górze zaś 120 lub 240 mm pod warunkiem, że zainstalowana pamięć RAM nie będzie wyższa niż 32 mm.</w:t>
      </w:r>
      <w:r w:rsidR="002A6E9C">
        <w:rPr>
          <w:rFonts w:ascii="Verdana" w:hAnsi="Verdana"/>
        </w:rPr>
        <w:t xml:space="preserve"> Na tylnej ściance jest możliwość zamontowania chłodnicy 120 mm.</w:t>
      </w:r>
    </w:p>
    <w:p w14:paraId="48CB1D16" w14:textId="77777777" w:rsidR="00540EA6" w:rsidRDefault="00540EA6" w:rsidP="0000250F">
      <w:pPr>
        <w:pStyle w:val="Bezodstpw"/>
        <w:rPr>
          <w:rFonts w:ascii="Verdana" w:hAnsi="Verdana"/>
        </w:rPr>
      </w:pPr>
    </w:p>
    <w:p w14:paraId="3327BEB8" w14:textId="2DA6E36D" w:rsidR="00540EA6" w:rsidRPr="001A7CE3" w:rsidRDefault="00540EA6" w:rsidP="0000250F">
      <w:pPr>
        <w:pStyle w:val="Bezodstpw"/>
        <w:rPr>
          <w:rFonts w:ascii="Verdana" w:hAnsi="Verdana"/>
        </w:rPr>
      </w:pPr>
      <w:r w:rsidRPr="008A4266">
        <w:rPr>
          <w:rFonts w:ascii="Verdana" w:hAnsi="Verdana"/>
        </w:rPr>
        <w:t xml:space="preserve">System 3+1 </w:t>
      </w:r>
      <w:r>
        <w:rPr>
          <w:rFonts w:ascii="Verdana" w:hAnsi="Verdana"/>
        </w:rPr>
        <w:t xml:space="preserve">– </w:t>
      </w:r>
      <w:r w:rsidRPr="008A4266">
        <w:rPr>
          <w:rFonts w:ascii="Verdana" w:hAnsi="Verdana"/>
        </w:rPr>
        <w:t>trzy</w:t>
      </w:r>
      <w:r>
        <w:rPr>
          <w:rFonts w:ascii="Verdana" w:hAnsi="Verdana"/>
        </w:rPr>
        <w:t xml:space="preserve"> </w:t>
      </w:r>
      <w:r w:rsidRPr="008A4266">
        <w:rPr>
          <w:rFonts w:ascii="Verdana" w:hAnsi="Verdana"/>
        </w:rPr>
        <w:t>wentylatory wtłaczające i jeden wyciągający</w:t>
      </w:r>
      <w:r>
        <w:rPr>
          <w:rFonts w:ascii="Verdana" w:hAnsi="Verdana"/>
        </w:rPr>
        <w:t xml:space="preserve"> –</w:t>
      </w:r>
      <w:r w:rsidRPr="008A4266">
        <w:rPr>
          <w:rFonts w:ascii="Verdana" w:hAnsi="Verdana"/>
        </w:rPr>
        <w:t xml:space="preserve"> generują</w:t>
      </w:r>
      <w:r>
        <w:rPr>
          <w:rFonts w:ascii="Verdana" w:hAnsi="Verdana"/>
        </w:rPr>
        <w:t xml:space="preserve"> </w:t>
      </w:r>
      <w:r w:rsidRPr="008A4266">
        <w:rPr>
          <w:rFonts w:ascii="Verdana" w:hAnsi="Verdana"/>
        </w:rPr>
        <w:t xml:space="preserve">delikatne nadciśnienie, co pomaga utrzymać czystość we wnętrzu obudowy. </w:t>
      </w:r>
      <w:r>
        <w:rPr>
          <w:rFonts w:ascii="Verdana" w:hAnsi="Verdana"/>
        </w:rPr>
        <w:t>Dołączon</w:t>
      </w:r>
      <w:r w:rsidR="00CC4332">
        <w:rPr>
          <w:rFonts w:ascii="Verdana" w:hAnsi="Verdana"/>
        </w:rPr>
        <w:t>y</w:t>
      </w:r>
      <w:r>
        <w:rPr>
          <w:rFonts w:ascii="Verdana" w:hAnsi="Verdana"/>
        </w:rPr>
        <w:t xml:space="preserve"> do</w:t>
      </w:r>
      <w:r w:rsidR="002A6E9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Signum</w:t>
      </w:r>
      <w:proofErr w:type="spellEnd"/>
      <w:r>
        <w:rPr>
          <w:rFonts w:ascii="Verdana" w:hAnsi="Verdana"/>
        </w:rPr>
        <w:t xml:space="preserve"> SG1</w:t>
      </w:r>
      <w:r w:rsidR="00925FC3">
        <w:rPr>
          <w:rFonts w:ascii="Verdana" w:hAnsi="Verdana"/>
        </w:rPr>
        <w:t>X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 rozgałęziacz umożliwia podłączenie wszystkich czterech wentylatorów do jednego złącza w płycie głównej. </w:t>
      </w:r>
      <w:r w:rsidRPr="008A4266">
        <w:rPr>
          <w:rFonts w:ascii="Verdana" w:hAnsi="Verdana"/>
        </w:rPr>
        <w:t xml:space="preserve">Użytkownik może wyposażyć </w:t>
      </w:r>
      <w:r w:rsidR="002A6E9C">
        <w:rPr>
          <w:rFonts w:ascii="Verdana" w:hAnsi="Verdana"/>
        </w:rPr>
        <w:t>obudowę</w:t>
      </w:r>
      <w:r>
        <w:rPr>
          <w:rFonts w:ascii="Verdana" w:hAnsi="Verdana"/>
        </w:rPr>
        <w:t xml:space="preserve"> </w:t>
      </w:r>
      <w:r w:rsidRPr="008A4266">
        <w:rPr>
          <w:rFonts w:ascii="Verdana" w:hAnsi="Verdana"/>
        </w:rPr>
        <w:t xml:space="preserve">w maksymalnie </w:t>
      </w:r>
      <w:r>
        <w:rPr>
          <w:rFonts w:ascii="Verdana" w:hAnsi="Verdana"/>
        </w:rPr>
        <w:t>8</w:t>
      </w:r>
      <w:r w:rsidRPr="008A4266">
        <w:rPr>
          <w:rFonts w:ascii="Verdana" w:hAnsi="Verdana"/>
        </w:rPr>
        <w:t xml:space="preserve"> wentylatorów</w:t>
      </w:r>
      <w:r>
        <w:rPr>
          <w:rFonts w:ascii="Verdana" w:hAnsi="Verdana"/>
        </w:rPr>
        <w:t xml:space="preserve"> 120 mm</w:t>
      </w:r>
      <w:r w:rsidR="003B6878">
        <w:rPr>
          <w:rFonts w:ascii="Verdana" w:hAnsi="Verdana"/>
        </w:rPr>
        <w:t xml:space="preserve">. </w:t>
      </w:r>
      <w:r w:rsidRPr="008A4266">
        <w:rPr>
          <w:rFonts w:ascii="Verdana" w:hAnsi="Verdana"/>
        </w:rPr>
        <w:t xml:space="preserve">Odpieraniem kurzu </w:t>
      </w:r>
      <w:r>
        <w:rPr>
          <w:rFonts w:ascii="Verdana" w:hAnsi="Verdana"/>
        </w:rPr>
        <w:t>w największym stopniu zajmuje s</w:t>
      </w:r>
      <w:r w:rsidR="00925FC3">
        <w:rPr>
          <w:rFonts w:ascii="Verdana" w:hAnsi="Verdana"/>
        </w:rPr>
        <w:t>ię komplet seryjnych filtrów: dwa</w:t>
      </w:r>
      <w:r>
        <w:rPr>
          <w:rFonts w:ascii="Verdana" w:hAnsi="Verdana"/>
        </w:rPr>
        <w:t xml:space="preserve"> z przodu, na górze oraz pod zasilaczem.</w:t>
      </w:r>
    </w:p>
    <w:p w14:paraId="16CC57A3" w14:textId="77777777" w:rsidR="00DD1C89" w:rsidRDefault="00DD1C89" w:rsidP="0000250F">
      <w:pPr>
        <w:pStyle w:val="Bezodstpw"/>
        <w:rPr>
          <w:rFonts w:ascii="Verdana" w:hAnsi="Verdana"/>
        </w:rPr>
      </w:pPr>
    </w:p>
    <w:p w14:paraId="384AC3EF" w14:textId="77777777" w:rsidR="00556F7E" w:rsidRDefault="00556F7E" w:rsidP="0000250F">
      <w:pPr>
        <w:pStyle w:val="Bezodstpw"/>
        <w:rPr>
          <w:rFonts w:ascii="Verdana" w:hAnsi="Verdana"/>
        </w:rPr>
      </w:pPr>
      <w:proofErr w:type="spellStart"/>
      <w:r w:rsidRPr="008A4266">
        <w:rPr>
          <w:rFonts w:ascii="Verdana" w:hAnsi="Verdana"/>
        </w:rPr>
        <w:lastRenderedPageBreak/>
        <w:t>Signum</w:t>
      </w:r>
      <w:proofErr w:type="spellEnd"/>
      <w:r w:rsidRPr="008A4266">
        <w:rPr>
          <w:rFonts w:ascii="Verdana" w:hAnsi="Verdana"/>
        </w:rPr>
        <w:t xml:space="preserve"> SG</w:t>
      </w:r>
      <w:r>
        <w:rPr>
          <w:rFonts w:ascii="Verdana" w:hAnsi="Verdana"/>
        </w:rPr>
        <w:t>1</w:t>
      </w:r>
      <w:r w:rsidR="00925FC3">
        <w:rPr>
          <w:rFonts w:ascii="Verdana" w:hAnsi="Verdana"/>
        </w:rPr>
        <w:t>X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</w:t>
      </w:r>
      <w:r w:rsidRPr="008A4266">
        <w:rPr>
          <w:rFonts w:ascii="Verdana" w:hAnsi="Verdana"/>
        </w:rPr>
        <w:t xml:space="preserve"> pomieści</w:t>
      </w:r>
      <w:r>
        <w:rPr>
          <w:rFonts w:ascii="Verdana" w:hAnsi="Verdana"/>
        </w:rPr>
        <w:t>:</w:t>
      </w:r>
      <w:r w:rsidRPr="008A4266"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 w:rsidRPr="008A4266">
        <w:rPr>
          <w:rFonts w:ascii="Verdana" w:hAnsi="Verdana"/>
        </w:rPr>
        <w:t xml:space="preserve"> nośnik</w:t>
      </w:r>
      <w:r>
        <w:rPr>
          <w:rFonts w:ascii="Verdana" w:hAnsi="Verdana"/>
        </w:rPr>
        <w:t>i</w:t>
      </w:r>
      <w:r w:rsidRPr="008A4266">
        <w:rPr>
          <w:rFonts w:ascii="Verdana" w:hAnsi="Verdana"/>
        </w:rPr>
        <w:t xml:space="preserve"> SSD 2,5”, jak również </w:t>
      </w:r>
      <w:r>
        <w:rPr>
          <w:rFonts w:ascii="Verdana" w:hAnsi="Verdana"/>
        </w:rPr>
        <w:t>2 dyski</w:t>
      </w:r>
      <w:r w:rsidRPr="008A4266">
        <w:rPr>
          <w:rFonts w:ascii="Verdana" w:hAnsi="Verdana"/>
        </w:rPr>
        <w:t xml:space="preserve"> </w:t>
      </w:r>
      <w:r w:rsidR="00013997">
        <w:rPr>
          <w:rFonts w:ascii="Verdana" w:hAnsi="Verdana"/>
        </w:rPr>
        <w:t xml:space="preserve">2,5 lub </w:t>
      </w:r>
      <w:r>
        <w:rPr>
          <w:rFonts w:ascii="Verdana" w:hAnsi="Verdana"/>
        </w:rPr>
        <w:t>3,5”</w:t>
      </w:r>
      <w:r w:rsidRPr="008A4266">
        <w:rPr>
          <w:rFonts w:ascii="Verdana" w:hAnsi="Verdana"/>
        </w:rPr>
        <w:t>.</w:t>
      </w:r>
    </w:p>
    <w:p w14:paraId="274B78C0" w14:textId="77777777" w:rsidR="00556F7E" w:rsidRPr="001A7CE3" w:rsidRDefault="00556F7E" w:rsidP="0000250F">
      <w:pPr>
        <w:pStyle w:val="Bezodstpw"/>
        <w:rPr>
          <w:rFonts w:ascii="Verdana" w:hAnsi="Verdana"/>
        </w:rPr>
      </w:pPr>
    </w:p>
    <w:p w14:paraId="156417D3" w14:textId="77777777" w:rsidR="00925FC3" w:rsidRPr="00D7069B" w:rsidRDefault="00925FC3" w:rsidP="00925FC3">
      <w:pPr>
        <w:pStyle w:val="Bezodstpw"/>
        <w:rPr>
          <w:rFonts w:ascii="Verdana" w:hAnsi="Verdana"/>
        </w:rPr>
      </w:pPr>
      <w:r w:rsidRPr="00D7069B">
        <w:rPr>
          <w:rFonts w:ascii="Verdana" w:hAnsi="Verdana"/>
        </w:rPr>
        <w:t xml:space="preserve">Umieszczony na górze obudów z rodziny </w:t>
      </w:r>
      <w:proofErr w:type="spellStart"/>
      <w:r w:rsidRPr="00D7069B">
        <w:rPr>
          <w:rFonts w:ascii="Verdana" w:hAnsi="Verdana"/>
        </w:rPr>
        <w:t>SilentiumPC</w:t>
      </w:r>
      <w:proofErr w:type="spellEnd"/>
      <w:r w:rsidRPr="00D7069B">
        <w:rPr>
          <w:rFonts w:ascii="Verdana" w:hAnsi="Verdana"/>
        </w:rPr>
        <w:t xml:space="preserve"> </w:t>
      </w:r>
      <w:proofErr w:type="spellStart"/>
      <w:r w:rsidRPr="00D7069B">
        <w:rPr>
          <w:rFonts w:ascii="Verdana" w:hAnsi="Verdana"/>
        </w:rPr>
        <w:t>Signum</w:t>
      </w:r>
      <w:proofErr w:type="spellEnd"/>
      <w:r w:rsidRPr="00D7069B">
        <w:rPr>
          <w:rFonts w:ascii="Verdana" w:hAnsi="Verdana"/>
        </w:rPr>
        <w:t xml:space="preserve"> SG1 panel portów I/O udostępnia dwa gniazda USB 3.1 Gen 1 (3.0), wyjścia/wejścia audio oraz przyciski: </w:t>
      </w:r>
      <w:proofErr w:type="spellStart"/>
      <w:r w:rsidRPr="00D7069B">
        <w:rPr>
          <w:rFonts w:ascii="Verdana" w:hAnsi="Verdana"/>
        </w:rPr>
        <w:t>power</w:t>
      </w:r>
      <w:proofErr w:type="spellEnd"/>
      <w:r w:rsidRPr="00D7069B">
        <w:rPr>
          <w:rFonts w:ascii="Verdana" w:hAnsi="Verdana"/>
        </w:rPr>
        <w:t xml:space="preserve"> i reset. Zapewnia on wygodny dostęp do najważniejszych złącz bez konieczności sięgania na tył komputera np. w celu podłączenia </w:t>
      </w:r>
      <w:proofErr w:type="spellStart"/>
      <w:r w:rsidRPr="00D7069B">
        <w:rPr>
          <w:rFonts w:ascii="Verdana" w:hAnsi="Verdana"/>
        </w:rPr>
        <w:t>pen-drive’a</w:t>
      </w:r>
      <w:proofErr w:type="spellEnd"/>
      <w:r w:rsidRPr="00D7069B">
        <w:rPr>
          <w:rFonts w:ascii="Verdana" w:hAnsi="Verdana"/>
        </w:rPr>
        <w:t>.</w:t>
      </w:r>
    </w:p>
    <w:p w14:paraId="3BF2A45D" w14:textId="77777777" w:rsidR="00925FC3" w:rsidRPr="00D7069B" w:rsidRDefault="00925FC3" w:rsidP="00925FC3">
      <w:pPr>
        <w:pStyle w:val="Bezodstpw"/>
        <w:rPr>
          <w:rFonts w:ascii="Verdana" w:hAnsi="Verdana"/>
        </w:rPr>
      </w:pPr>
    </w:p>
    <w:p w14:paraId="66984BCA" w14:textId="77777777" w:rsidR="00925FC3" w:rsidRDefault="00925FC3" w:rsidP="00925FC3">
      <w:pPr>
        <w:pStyle w:val="Bezodstpw"/>
        <w:rPr>
          <w:rFonts w:ascii="Verdana" w:hAnsi="Verdana"/>
          <w:b/>
        </w:rPr>
      </w:pPr>
      <w:r w:rsidRPr="00D7069B">
        <w:rPr>
          <w:rFonts w:ascii="Verdana" w:hAnsi="Verdana"/>
        </w:rPr>
        <w:t>O właściwą aranżację okablowania, a także komponentów zainstalowanych w środku, db</w:t>
      </w:r>
      <w:r>
        <w:rPr>
          <w:rFonts w:ascii="Verdana" w:hAnsi="Verdana"/>
        </w:rPr>
        <w:t>a dwukomorowa konstrukcja obudowy</w:t>
      </w:r>
      <w:r w:rsidRPr="00D7069B">
        <w:rPr>
          <w:rFonts w:ascii="Verdana" w:hAnsi="Verdana"/>
        </w:rPr>
        <w:t xml:space="preserve"> </w:t>
      </w:r>
      <w:proofErr w:type="spellStart"/>
      <w:r w:rsidRPr="00D7069B">
        <w:rPr>
          <w:rFonts w:ascii="Verdana" w:hAnsi="Verdana"/>
        </w:rPr>
        <w:t>Signum</w:t>
      </w:r>
      <w:proofErr w:type="spellEnd"/>
      <w:r w:rsidRPr="00D7069B">
        <w:rPr>
          <w:rFonts w:ascii="Verdana" w:hAnsi="Verdana"/>
        </w:rPr>
        <w:t xml:space="preserve"> SG1</w:t>
      </w:r>
      <w:r>
        <w:rPr>
          <w:rFonts w:ascii="Verdana" w:hAnsi="Verdana"/>
        </w:rPr>
        <w:t xml:space="preserve">X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</w:t>
      </w:r>
      <w:r w:rsidRPr="00D7069B">
        <w:rPr>
          <w:rFonts w:ascii="Verdana" w:hAnsi="Verdana"/>
        </w:rPr>
        <w:t xml:space="preserve"> wraz z zatoką serwisową, głęboką nawet na 35 mm w kluczowych miejscach. Ukryć przewody pomogą także liczne zaczepy oraz opaski zaciskowe.</w:t>
      </w:r>
    </w:p>
    <w:p w14:paraId="7BA07393" w14:textId="77777777" w:rsidR="00925FC3" w:rsidRDefault="00925FC3" w:rsidP="0000250F">
      <w:pPr>
        <w:pStyle w:val="Bezodstpw"/>
        <w:rPr>
          <w:rFonts w:ascii="Verdana" w:hAnsi="Verdana"/>
          <w:b/>
        </w:rPr>
      </w:pPr>
    </w:p>
    <w:p w14:paraId="557EBD85" w14:textId="77777777" w:rsidR="00925FC3" w:rsidRPr="00925FC3" w:rsidRDefault="00925FC3" w:rsidP="00925FC3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Rodzina </w:t>
      </w:r>
      <w:proofErr w:type="spellStart"/>
      <w:r>
        <w:rPr>
          <w:rFonts w:ascii="Verdana" w:hAnsi="Verdana"/>
          <w:b/>
        </w:rPr>
        <w:t>Signum</w:t>
      </w:r>
      <w:proofErr w:type="spellEnd"/>
      <w:r>
        <w:rPr>
          <w:rFonts w:ascii="Verdana" w:hAnsi="Verdana"/>
          <w:b/>
        </w:rPr>
        <w:t xml:space="preserve"> SG1</w:t>
      </w:r>
    </w:p>
    <w:p w14:paraId="7A397F8A" w14:textId="77777777" w:rsidR="00925FC3" w:rsidRPr="00D7069B" w:rsidRDefault="00925FC3" w:rsidP="00925FC3">
      <w:pPr>
        <w:pStyle w:val="Bezodstpw"/>
        <w:rPr>
          <w:rFonts w:ascii="Verdana" w:hAnsi="Verdana"/>
        </w:rPr>
      </w:pPr>
      <w:r w:rsidRPr="00D7069B">
        <w:rPr>
          <w:rFonts w:ascii="Verdana" w:hAnsi="Verdana"/>
        </w:rPr>
        <w:t xml:space="preserve">Seria obudów </w:t>
      </w:r>
      <w:proofErr w:type="spellStart"/>
      <w:r w:rsidRPr="00D7069B">
        <w:rPr>
          <w:rFonts w:ascii="Verdana" w:hAnsi="Verdana"/>
        </w:rPr>
        <w:t>SilentiumPC</w:t>
      </w:r>
      <w:proofErr w:type="spellEnd"/>
      <w:r w:rsidRPr="00D7069B">
        <w:rPr>
          <w:rFonts w:ascii="Verdana" w:hAnsi="Verdana"/>
        </w:rPr>
        <w:t xml:space="preserve"> </w:t>
      </w:r>
      <w:proofErr w:type="spellStart"/>
      <w:r w:rsidRPr="00D7069B">
        <w:rPr>
          <w:rFonts w:ascii="Verdana" w:hAnsi="Verdana"/>
        </w:rPr>
        <w:t>Signum</w:t>
      </w:r>
      <w:proofErr w:type="spellEnd"/>
      <w:r w:rsidRPr="00D7069B">
        <w:rPr>
          <w:rFonts w:ascii="Verdana" w:hAnsi="Verdana"/>
        </w:rPr>
        <w:t xml:space="preserve"> SG1 składa się z </w:t>
      </w:r>
      <w:r>
        <w:rPr>
          <w:rFonts w:ascii="Verdana" w:hAnsi="Verdana"/>
        </w:rPr>
        <w:t>siedmiu</w:t>
      </w:r>
      <w:r w:rsidRPr="00D7069B">
        <w:rPr>
          <w:rFonts w:ascii="Verdana" w:hAnsi="Verdana"/>
        </w:rPr>
        <w:t xml:space="preserve"> modeli</w:t>
      </w:r>
      <w:r>
        <w:rPr>
          <w:rFonts w:ascii="Verdana" w:hAnsi="Verdana"/>
        </w:rPr>
        <w:t xml:space="preserve">. </w:t>
      </w:r>
      <w:r w:rsidRPr="00D7069B">
        <w:rPr>
          <w:rFonts w:ascii="Verdana" w:hAnsi="Verdana"/>
        </w:rPr>
        <w:t>Różnice między poszczególnymi przedstawicielami rodziny SG1</w:t>
      </w:r>
      <w:r>
        <w:rPr>
          <w:rFonts w:ascii="Verdana" w:hAnsi="Verdana"/>
        </w:rPr>
        <w:t xml:space="preserve"> są następujące</w:t>
      </w:r>
      <w:r w:rsidRPr="00D7069B">
        <w:rPr>
          <w:rFonts w:ascii="Verdana" w:hAnsi="Verdana"/>
        </w:rPr>
        <w:t>:</w:t>
      </w:r>
    </w:p>
    <w:p w14:paraId="0ADEC460" w14:textId="77777777" w:rsidR="00925FC3" w:rsidRPr="00D7069B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  <w:lang w:val="en-GB"/>
        </w:rPr>
      </w:pPr>
      <w:r w:rsidRPr="00D7069B">
        <w:rPr>
          <w:rFonts w:ascii="Verdana" w:hAnsi="Verdana"/>
          <w:lang w:val="en-GB"/>
        </w:rPr>
        <w:t xml:space="preserve">Signum SG1: panel </w:t>
      </w:r>
      <w:proofErr w:type="spellStart"/>
      <w:r w:rsidRPr="00D7069B">
        <w:rPr>
          <w:rFonts w:ascii="Verdana" w:hAnsi="Verdana"/>
          <w:lang w:val="en-GB"/>
        </w:rPr>
        <w:t>przedni</w:t>
      </w:r>
      <w:proofErr w:type="spellEnd"/>
      <w:r w:rsidRPr="00D7069B">
        <w:rPr>
          <w:rFonts w:ascii="Verdana" w:hAnsi="Verdana"/>
          <w:lang w:val="en-GB"/>
        </w:rPr>
        <w:t xml:space="preserve"> „mesh”, </w:t>
      </w:r>
      <w:proofErr w:type="spellStart"/>
      <w:r w:rsidRPr="00D7069B">
        <w:rPr>
          <w:rFonts w:ascii="Verdana" w:hAnsi="Verdana"/>
          <w:lang w:val="en-GB"/>
        </w:rPr>
        <w:t>wentylator</w:t>
      </w:r>
      <w:proofErr w:type="spellEnd"/>
      <w:r w:rsidRPr="00D7069B">
        <w:rPr>
          <w:rFonts w:ascii="Verdana" w:hAnsi="Verdana"/>
          <w:lang w:val="en-GB"/>
        </w:rPr>
        <w:t xml:space="preserve"> Sigma HP 120 mm.</w:t>
      </w:r>
    </w:p>
    <w:p w14:paraId="1F205871" w14:textId="77777777" w:rsidR="00925FC3" w:rsidRPr="00D7069B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D7069B">
        <w:rPr>
          <w:rFonts w:ascii="Verdana" w:hAnsi="Verdana"/>
        </w:rPr>
        <w:t>Signum</w:t>
      </w:r>
      <w:proofErr w:type="spellEnd"/>
      <w:r w:rsidRPr="00D7069B">
        <w:rPr>
          <w:rFonts w:ascii="Verdana" w:hAnsi="Verdana"/>
        </w:rPr>
        <w:t xml:space="preserve"> SG1 TG: panel przedni „</w:t>
      </w:r>
      <w:proofErr w:type="spellStart"/>
      <w:r w:rsidRPr="00D7069B">
        <w:rPr>
          <w:rFonts w:ascii="Verdana" w:hAnsi="Verdana"/>
        </w:rPr>
        <w:t>mesh</w:t>
      </w:r>
      <w:proofErr w:type="spellEnd"/>
      <w:r w:rsidRPr="00D7069B">
        <w:rPr>
          <w:rFonts w:ascii="Verdana" w:hAnsi="Verdana"/>
        </w:rPr>
        <w:t>”, 2 wentylatory Sigma HP 120 mm, panel boczny ze szkła hartowanego.</w:t>
      </w:r>
    </w:p>
    <w:p w14:paraId="36ED980E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E45910">
        <w:rPr>
          <w:rFonts w:ascii="Verdana" w:hAnsi="Verdana"/>
        </w:rPr>
        <w:t>Signum</w:t>
      </w:r>
      <w:proofErr w:type="spellEnd"/>
      <w:r w:rsidRPr="00E45910">
        <w:rPr>
          <w:rFonts w:ascii="Verdana" w:hAnsi="Verdana"/>
        </w:rPr>
        <w:t xml:space="preserve"> SG1M: panel przedni z metalowym wykończeniem, wentylator Sigma HP 120 mm.</w:t>
      </w:r>
    </w:p>
    <w:p w14:paraId="53EF22FB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925FC3">
        <w:rPr>
          <w:rFonts w:ascii="Verdana" w:hAnsi="Verdana"/>
        </w:rPr>
        <w:t>Signum</w:t>
      </w:r>
      <w:proofErr w:type="spellEnd"/>
      <w:r w:rsidRPr="00925FC3">
        <w:rPr>
          <w:rFonts w:ascii="Verdana" w:hAnsi="Verdana"/>
        </w:rPr>
        <w:t xml:space="preserve"> SG1M TG: panel przedni z metalowym wykończeniem, 2 wentylatory Sigma HP 120 mm, panel boczny ze szkła hartowanego.</w:t>
      </w:r>
    </w:p>
    <w:p w14:paraId="181DE57B" w14:textId="77777777" w:rsidR="00925FC3" w:rsidRP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925FC3">
        <w:rPr>
          <w:rFonts w:ascii="Verdana" w:hAnsi="Verdana"/>
        </w:rPr>
        <w:t>Signum</w:t>
      </w:r>
      <w:proofErr w:type="spellEnd"/>
      <w:r w:rsidRPr="00925FC3">
        <w:rPr>
          <w:rFonts w:ascii="Verdana" w:hAnsi="Verdana"/>
        </w:rPr>
        <w:t xml:space="preserve"> SG1V </w:t>
      </w:r>
      <w:proofErr w:type="spellStart"/>
      <w:r w:rsidRPr="00925FC3">
        <w:rPr>
          <w:rFonts w:ascii="Verdana" w:hAnsi="Verdana"/>
        </w:rPr>
        <w:t>Evo</w:t>
      </w:r>
      <w:proofErr w:type="spellEnd"/>
      <w:r w:rsidRPr="00925FC3">
        <w:rPr>
          <w:rFonts w:ascii="Verdana" w:hAnsi="Verdana"/>
        </w:rPr>
        <w:t xml:space="preserve"> TG ARGB: </w:t>
      </w:r>
      <w:r>
        <w:rPr>
          <w:rFonts w:ascii="Verdana" w:hAnsi="Verdana"/>
        </w:rPr>
        <w:t>panel przedni „</w:t>
      </w:r>
      <w:proofErr w:type="spellStart"/>
      <w:r>
        <w:rPr>
          <w:rFonts w:ascii="Verdana" w:hAnsi="Verdana"/>
        </w:rPr>
        <w:t>mesh</w:t>
      </w:r>
      <w:proofErr w:type="spellEnd"/>
      <w:r>
        <w:rPr>
          <w:rFonts w:ascii="Verdana" w:hAnsi="Verdana"/>
        </w:rPr>
        <w:t>”, 4</w:t>
      </w:r>
      <w:r w:rsidRPr="00D7069B">
        <w:rPr>
          <w:rFonts w:ascii="Verdana" w:hAnsi="Verdana"/>
        </w:rPr>
        <w:t xml:space="preserve"> wentylatory S</w:t>
      </w:r>
      <w:r>
        <w:rPr>
          <w:rFonts w:ascii="Verdana" w:hAnsi="Verdana"/>
        </w:rPr>
        <w:t>tella</w:t>
      </w:r>
      <w:r w:rsidRPr="00D7069B">
        <w:rPr>
          <w:rFonts w:ascii="Verdana" w:hAnsi="Verdana"/>
        </w:rPr>
        <w:t xml:space="preserve"> HP </w:t>
      </w:r>
      <w:r>
        <w:rPr>
          <w:rFonts w:ascii="Verdana" w:hAnsi="Verdana"/>
        </w:rPr>
        <w:t xml:space="preserve">ARGB CF </w:t>
      </w:r>
      <w:r w:rsidRPr="00D7069B">
        <w:rPr>
          <w:rFonts w:ascii="Verdana" w:hAnsi="Verdana"/>
        </w:rPr>
        <w:t xml:space="preserve">120 mm, </w:t>
      </w:r>
      <w:r>
        <w:rPr>
          <w:rFonts w:ascii="Verdana" w:hAnsi="Verdana"/>
        </w:rPr>
        <w:t xml:space="preserve">rozdzielacz FAN/ARGB, kontroler Nano-Reset ARGB, </w:t>
      </w:r>
      <w:r w:rsidRPr="00D7069B">
        <w:rPr>
          <w:rFonts w:ascii="Verdana" w:hAnsi="Verdana"/>
        </w:rPr>
        <w:t>panel boczny ze szkła hartowanego.</w:t>
      </w:r>
    </w:p>
    <w:p w14:paraId="4DF9618C" w14:textId="77777777" w:rsidR="00556F7E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925FC3">
        <w:rPr>
          <w:rFonts w:ascii="Verdana" w:hAnsi="Verdana"/>
        </w:rPr>
        <w:t>Signum</w:t>
      </w:r>
      <w:proofErr w:type="spellEnd"/>
      <w:r w:rsidRPr="00925FC3">
        <w:rPr>
          <w:rFonts w:ascii="Verdana" w:hAnsi="Verdana"/>
        </w:rPr>
        <w:t xml:space="preserve"> SG1X TG RGB: dwa panele ze szkła hartowanego, cztery wentylatory </w:t>
      </w:r>
      <w:proofErr w:type="spellStart"/>
      <w:r>
        <w:rPr>
          <w:rFonts w:ascii="Verdana" w:hAnsi="Verdana"/>
        </w:rPr>
        <w:t>Corona</w:t>
      </w:r>
      <w:proofErr w:type="spellEnd"/>
      <w:r w:rsidRPr="00925FC3">
        <w:rPr>
          <w:rFonts w:ascii="Verdana" w:hAnsi="Verdana"/>
        </w:rPr>
        <w:t xml:space="preserve"> HP RGB</w:t>
      </w:r>
      <w:r>
        <w:rPr>
          <w:rFonts w:ascii="Verdana" w:hAnsi="Verdana"/>
        </w:rPr>
        <w:t xml:space="preserve"> CF</w:t>
      </w:r>
      <w:r w:rsidRPr="00925FC3">
        <w:rPr>
          <w:rFonts w:ascii="Verdana" w:hAnsi="Verdana"/>
        </w:rPr>
        <w:t xml:space="preserve"> 120 mm, rozdzielacz FAN/RGB, kontroler Nano-Reset RGB.</w:t>
      </w:r>
    </w:p>
    <w:p w14:paraId="732004BC" w14:textId="77777777" w:rsidR="00925FC3" w:rsidRP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925FC3">
        <w:rPr>
          <w:rFonts w:ascii="Verdana" w:hAnsi="Verdana"/>
          <w:b/>
        </w:rPr>
        <w:t>Signum</w:t>
      </w:r>
      <w:proofErr w:type="spellEnd"/>
      <w:r w:rsidRPr="00925FC3">
        <w:rPr>
          <w:rFonts w:ascii="Verdana" w:hAnsi="Verdana"/>
          <w:b/>
        </w:rPr>
        <w:t xml:space="preserve"> SG1X </w:t>
      </w:r>
      <w:proofErr w:type="spellStart"/>
      <w:r w:rsidRPr="00925FC3">
        <w:rPr>
          <w:rFonts w:ascii="Verdana" w:hAnsi="Verdana"/>
          <w:b/>
        </w:rPr>
        <w:t>Evo</w:t>
      </w:r>
      <w:proofErr w:type="spellEnd"/>
      <w:r w:rsidRPr="00925FC3">
        <w:rPr>
          <w:rFonts w:ascii="Verdana" w:hAnsi="Verdana"/>
          <w:b/>
        </w:rPr>
        <w:t xml:space="preserve"> TG ARGB</w:t>
      </w:r>
      <w:r w:rsidRPr="00925FC3">
        <w:rPr>
          <w:rFonts w:ascii="Verdana" w:hAnsi="Verdana"/>
        </w:rPr>
        <w:t xml:space="preserve">: dwa panele ze szkła hartowanego, cztery wentylatory </w:t>
      </w:r>
      <w:r>
        <w:rPr>
          <w:rFonts w:ascii="Verdana" w:hAnsi="Verdana"/>
        </w:rPr>
        <w:t>Stella</w:t>
      </w:r>
      <w:r w:rsidRPr="00925FC3">
        <w:rPr>
          <w:rFonts w:ascii="Verdana" w:hAnsi="Verdana"/>
        </w:rPr>
        <w:t xml:space="preserve"> HP </w:t>
      </w:r>
      <w:r>
        <w:rPr>
          <w:rFonts w:ascii="Verdana" w:hAnsi="Verdana"/>
        </w:rPr>
        <w:t>A</w:t>
      </w:r>
      <w:r w:rsidRPr="00925FC3">
        <w:rPr>
          <w:rFonts w:ascii="Verdana" w:hAnsi="Verdana"/>
        </w:rPr>
        <w:t xml:space="preserve">RGB </w:t>
      </w:r>
      <w:r>
        <w:rPr>
          <w:rFonts w:ascii="Verdana" w:hAnsi="Verdana"/>
        </w:rPr>
        <w:t xml:space="preserve">CF </w:t>
      </w:r>
      <w:r w:rsidRPr="00925FC3">
        <w:rPr>
          <w:rFonts w:ascii="Verdana" w:hAnsi="Verdana"/>
        </w:rPr>
        <w:t>120 mm, rozdzielacz FAN/</w:t>
      </w:r>
      <w:r>
        <w:rPr>
          <w:rFonts w:ascii="Verdana" w:hAnsi="Verdana"/>
        </w:rPr>
        <w:t>A</w:t>
      </w:r>
      <w:r w:rsidRPr="00925FC3">
        <w:rPr>
          <w:rFonts w:ascii="Verdana" w:hAnsi="Verdana"/>
        </w:rPr>
        <w:t xml:space="preserve">RGB, kontroler Nano-Reset </w:t>
      </w:r>
      <w:r>
        <w:rPr>
          <w:rFonts w:ascii="Verdana" w:hAnsi="Verdana"/>
        </w:rPr>
        <w:t>A</w:t>
      </w:r>
      <w:r w:rsidRPr="00925FC3">
        <w:rPr>
          <w:rFonts w:ascii="Verdana" w:hAnsi="Verdana"/>
        </w:rPr>
        <w:t>RGB.</w:t>
      </w:r>
    </w:p>
    <w:p w14:paraId="2E628813" w14:textId="77777777" w:rsidR="00924020" w:rsidRDefault="00924020" w:rsidP="0000250F">
      <w:pPr>
        <w:pStyle w:val="Bezodstpw"/>
        <w:rPr>
          <w:rFonts w:ascii="Verdana" w:hAnsi="Verdana"/>
        </w:rPr>
      </w:pPr>
    </w:p>
    <w:p w14:paraId="150B0A69" w14:textId="77777777" w:rsidR="00925FC3" w:rsidRPr="00550AD2" w:rsidRDefault="00925FC3" w:rsidP="00925FC3">
      <w:pPr>
        <w:pStyle w:val="Bezodstpw"/>
        <w:rPr>
          <w:rFonts w:ascii="Verdana" w:hAnsi="Verdana"/>
          <w:b/>
        </w:rPr>
      </w:pPr>
      <w:r w:rsidRPr="00550AD2">
        <w:rPr>
          <w:rFonts w:ascii="Verdana" w:hAnsi="Verdana"/>
          <w:b/>
        </w:rPr>
        <w:t xml:space="preserve">Główne cechy obudowy </w:t>
      </w:r>
      <w:proofErr w:type="spellStart"/>
      <w:r w:rsidRPr="00550AD2">
        <w:rPr>
          <w:rFonts w:ascii="Verdana" w:hAnsi="Verdana"/>
          <w:b/>
        </w:rPr>
        <w:t>SilentiumPC</w:t>
      </w:r>
      <w:proofErr w:type="spellEnd"/>
      <w:r w:rsidRPr="00550AD2">
        <w:rPr>
          <w:rFonts w:ascii="Verdana" w:hAnsi="Verdana"/>
          <w:b/>
        </w:rPr>
        <w:t xml:space="preserve"> </w:t>
      </w:r>
      <w:proofErr w:type="spellStart"/>
      <w:r w:rsidRPr="00550AD2">
        <w:rPr>
          <w:rFonts w:ascii="Verdana" w:hAnsi="Verdana"/>
          <w:b/>
        </w:rPr>
        <w:t>Signum</w:t>
      </w:r>
      <w:proofErr w:type="spellEnd"/>
      <w:r w:rsidRPr="00550AD2">
        <w:rPr>
          <w:rFonts w:ascii="Verdana" w:hAnsi="Verdana"/>
          <w:b/>
        </w:rPr>
        <w:t xml:space="preserve"> SG1</w:t>
      </w:r>
      <w:r>
        <w:rPr>
          <w:rFonts w:ascii="Verdana" w:hAnsi="Verdana"/>
          <w:b/>
        </w:rPr>
        <w:t>X</w:t>
      </w:r>
      <w:r w:rsidRPr="00550AD2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Evo</w:t>
      </w:r>
      <w:proofErr w:type="spellEnd"/>
      <w:r>
        <w:rPr>
          <w:rFonts w:ascii="Verdana" w:hAnsi="Verdana"/>
          <w:b/>
        </w:rPr>
        <w:t xml:space="preserve"> </w:t>
      </w:r>
      <w:r w:rsidRPr="00550AD2">
        <w:rPr>
          <w:rFonts w:ascii="Verdana" w:hAnsi="Verdana"/>
          <w:b/>
        </w:rPr>
        <w:t>TG</w:t>
      </w:r>
      <w:r>
        <w:rPr>
          <w:rFonts w:ascii="Verdana" w:hAnsi="Verdana"/>
          <w:b/>
        </w:rPr>
        <w:t xml:space="preserve"> ARGB</w:t>
      </w:r>
      <w:r w:rsidRPr="00550AD2">
        <w:rPr>
          <w:rFonts w:ascii="Verdana" w:hAnsi="Verdana"/>
          <w:b/>
        </w:rPr>
        <w:t>:</w:t>
      </w:r>
    </w:p>
    <w:p w14:paraId="639B18E3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Dwa panele ze szkła hartowanego.</w:t>
      </w:r>
    </w:p>
    <w:p w14:paraId="5016A5E3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Cztery wentylatory Stella HP ARGB CF 120 mm w zestawie.</w:t>
      </w:r>
    </w:p>
    <w:p w14:paraId="0FE6E51C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Możliwość sterowania podświetleniem ARGB z poziomu kompatybilnych płyt głównych lub za pomocą dołączonego kontrolera Nano-Reset ARGB.</w:t>
      </w:r>
    </w:p>
    <w:p w14:paraId="27F02F60" w14:textId="77777777" w:rsidR="00925FC3" w:rsidRPr="00D7069B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 w:rsidRPr="00D7069B">
        <w:rPr>
          <w:rFonts w:ascii="Verdana" w:hAnsi="Verdana"/>
        </w:rPr>
        <w:t>Przewiewny i charakterystyczny</w:t>
      </w:r>
      <w:r>
        <w:rPr>
          <w:rFonts w:ascii="Verdana" w:hAnsi="Verdana"/>
        </w:rPr>
        <w:t xml:space="preserve"> heksagonalny</w:t>
      </w:r>
      <w:r w:rsidRPr="00D7069B">
        <w:rPr>
          <w:rFonts w:ascii="Verdana" w:hAnsi="Verdana"/>
        </w:rPr>
        <w:t xml:space="preserve"> front.</w:t>
      </w:r>
    </w:p>
    <w:p w14:paraId="4456454D" w14:textId="77777777" w:rsidR="00925FC3" w:rsidRPr="00D7069B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 w:rsidRPr="00D7069B">
        <w:rPr>
          <w:rFonts w:ascii="Verdana" w:hAnsi="Verdana"/>
        </w:rPr>
        <w:t>Przestronna i dwukomorowa konstrukcja wraz z głęboką zatoką serwisową.</w:t>
      </w:r>
    </w:p>
    <w:p w14:paraId="3CAD6321" w14:textId="77777777" w:rsidR="00925FC3" w:rsidRPr="00D7069B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 w:rsidRPr="00D7069B">
        <w:rPr>
          <w:rFonts w:ascii="Verdana" w:hAnsi="Verdana"/>
        </w:rPr>
        <w:t>Możliwość instalacji zestawu chłodzenia CPU wysokiego na 161 mm oraz karty graficznej długiej na 325 mm.</w:t>
      </w:r>
    </w:p>
    <w:p w14:paraId="62C0BFC1" w14:textId="77777777" w:rsidR="00925FC3" w:rsidRPr="00E74FAE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K</w:t>
      </w:r>
      <w:r w:rsidRPr="00E74FAE">
        <w:rPr>
          <w:rFonts w:ascii="Verdana" w:hAnsi="Verdana"/>
        </w:rPr>
        <w:t>ompatybilność z systemami chłodzenia cieczą (AIO): 120/</w:t>
      </w:r>
      <w:r>
        <w:rPr>
          <w:rFonts w:ascii="Verdana" w:hAnsi="Verdana"/>
        </w:rPr>
        <w:t>240/</w:t>
      </w:r>
      <w:r w:rsidRPr="00E74FAE">
        <w:rPr>
          <w:rFonts w:ascii="Verdana" w:hAnsi="Verdana"/>
        </w:rPr>
        <w:t>360 mm z przodu, 120</w:t>
      </w:r>
      <w:r>
        <w:rPr>
          <w:rFonts w:ascii="Verdana" w:hAnsi="Verdana"/>
        </w:rPr>
        <w:t xml:space="preserve">/240 mm </w:t>
      </w:r>
      <w:r w:rsidRPr="00E74FAE">
        <w:rPr>
          <w:rFonts w:ascii="Verdana" w:hAnsi="Verdana"/>
        </w:rPr>
        <w:t xml:space="preserve">na górze </w:t>
      </w:r>
      <w:r>
        <w:rPr>
          <w:rFonts w:ascii="Verdana" w:hAnsi="Verdana"/>
        </w:rPr>
        <w:t>(maks. wysokość RAM: 32 mm), 120 mm z tyłu</w:t>
      </w:r>
      <w:r w:rsidRPr="00E74FAE">
        <w:rPr>
          <w:rFonts w:ascii="Verdana" w:hAnsi="Verdana"/>
        </w:rPr>
        <w:t>.</w:t>
      </w:r>
    </w:p>
    <w:p w14:paraId="178935FE" w14:textId="3EE4D948" w:rsidR="00925FC3" w:rsidRPr="00D7069B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 w:rsidRPr="00D7069B">
        <w:rPr>
          <w:rFonts w:ascii="Verdana" w:hAnsi="Verdana"/>
        </w:rPr>
        <w:t xml:space="preserve">Możliwość instalacji nawet 8 wentylatorów 120 mm. </w:t>
      </w:r>
    </w:p>
    <w:p w14:paraId="05E913D0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 w:rsidRPr="00925FC3">
        <w:rPr>
          <w:rFonts w:ascii="Verdana" w:hAnsi="Verdana"/>
        </w:rPr>
        <w:t xml:space="preserve">Pełny zestaw filtrów </w:t>
      </w:r>
      <w:proofErr w:type="spellStart"/>
      <w:r w:rsidRPr="00925FC3">
        <w:rPr>
          <w:rFonts w:ascii="Verdana" w:hAnsi="Verdana"/>
        </w:rPr>
        <w:t>przeciwkurzowych</w:t>
      </w:r>
      <w:proofErr w:type="spellEnd"/>
      <w:r w:rsidRPr="00925FC3">
        <w:rPr>
          <w:rFonts w:ascii="Verdana" w:hAnsi="Verdana"/>
        </w:rPr>
        <w:t>.</w:t>
      </w:r>
    </w:p>
    <w:p w14:paraId="59A9D16D" w14:textId="77777777" w:rsidR="00925FC3" w:rsidRDefault="00925FC3" w:rsidP="00925FC3">
      <w:pPr>
        <w:pStyle w:val="Bezodstpw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Pomieści do czterech nośników danych: 2 × 2,5” oraz 2 × 2,5/3,5”.</w:t>
      </w:r>
    </w:p>
    <w:p w14:paraId="62D42BA5" w14:textId="77777777" w:rsidR="00925FC3" w:rsidRPr="00925FC3" w:rsidRDefault="00925FC3" w:rsidP="0000250F">
      <w:pPr>
        <w:pStyle w:val="Bezodstpw"/>
        <w:rPr>
          <w:rFonts w:ascii="Verdana" w:hAnsi="Verdana"/>
        </w:rPr>
      </w:pPr>
    </w:p>
    <w:p w14:paraId="009B4C1C" w14:textId="77777777" w:rsidR="008A0DC1" w:rsidRDefault="008A0DC1" w:rsidP="008A0DC1">
      <w:pPr>
        <w:pStyle w:val="Bezodstpw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Dane techniczne obudowy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SilentiumPC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Signum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SG</w:t>
      </w:r>
      <w:r w:rsidR="004A0D21">
        <w:rPr>
          <w:rFonts w:ascii="Verdana" w:eastAsia="Times New Roman" w:hAnsi="Verdana" w:cs="Times New Roman"/>
          <w:b/>
          <w:bCs/>
          <w:color w:val="000000"/>
          <w:lang w:eastAsia="pl-PL"/>
        </w:rPr>
        <w:t>1</w:t>
      </w:r>
      <w:r w:rsidR="00925FC3">
        <w:rPr>
          <w:rFonts w:ascii="Verdana" w:eastAsia="Times New Roman" w:hAnsi="Verdana" w:cs="Times New Roman"/>
          <w:b/>
          <w:bCs/>
          <w:color w:val="000000"/>
          <w:lang w:eastAsia="pl-PL"/>
        </w:rPr>
        <w:t>X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Evo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TG ARGB:</w:t>
      </w:r>
    </w:p>
    <w:p w14:paraId="60C3889D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EAN:</w:t>
      </w:r>
      <w:r>
        <w:rPr>
          <w:rFonts w:ascii="Verdana" w:eastAsia="Times New Roman" w:hAnsi="Verdana" w:cs="Times New Roman"/>
          <w:color w:val="000000"/>
          <w:lang w:eastAsia="pl-PL"/>
        </w:rPr>
        <w:t> 590301866</w:t>
      </w:r>
      <w:r w:rsidR="00925FC3">
        <w:rPr>
          <w:rFonts w:ascii="Verdana" w:eastAsia="Times New Roman" w:hAnsi="Verdana" w:cs="Times New Roman"/>
          <w:color w:val="000000"/>
          <w:lang w:eastAsia="pl-PL"/>
        </w:rPr>
        <w:t>1711</w:t>
      </w:r>
    </w:p>
    <w:p w14:paraId="485CE2F3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l-PL"/>
        </w:rPr>
        <w:t xml:space="preserve">Kod produktu: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SPC2</w:t>
      </w:r>
      <w:r w:rsidR="00925FC3"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83</w:t>
      </w:r>
    </w:p>
    <w:p w14:paraId="2E7B6982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lastRenderedPageBreak/>
        <w:t>Wymiary obudowy: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447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216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413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 (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14:paraId="4F8B62EA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opakowania: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473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266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485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 (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14:paraId="315E77CF" w14:textId="77777777" w:rsidR="008A0DC1" w:rsidRPr="009B5399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netto: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5,</w:t>
      </w:r>
      <w:r w:rsidR="00925FC3">
        <w:rPr>
          <w:rFonts w:ascii="Verdana" w:eastAsia="Times New Roman" w:hAnsi="Verdana" w:cs="Times New Roman"/>
          <w:color w:val="000000"/>
          <w:lang w:eastAsia="pl-PL"/>
        </w:rPr>
        <w:t>54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14:paraId="10272103" w14:textId="77777777" w:rsidR="008A0DC1" w:rsidRPr="009B5399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brutto: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AB663B">
        <w:rPr>
          <w:rFonts w:ascii="Verdana" w:eastAsia="Times New Roman" w:hAnsi="Verdana" w:cs="Times New Roman"/>
          <w:color w:val="000000"/>
          <w:lang w:eastAsia="pl-PL"/>
        </w:rPr>
        <w:t>6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,</w:t>
      </w:r>
      <w:r w:rsidR="00925FC3">
        <w:rPr>
          <w:rFonts w:ascii="Verdana" w:eastAsia="Times New Roman" w:hAnsi="Verdana" w:cs="Times New Roman"/>
          <w:color w:val="000000"/>
          <w:lang w:eastAsia="pl-PL"/>
        </w:rPr>
        <w:t>49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14:paraId="482A1747" w14:textId="77777777" w:rsidR="008A0DC1" w:rsidRPr="009B5399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Standard: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mITX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/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microATX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/ATX</w:t>
      </w:r>
    </w:p>
    <w:p w14:paraId="11CBD88F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Liczba zatok:</w:t>
      </w:r>
    </w:p>
    <w:p w14:paraId="543FB0A7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zewnętrzne: brak</w:t>
      </w:r>
    </w:p>
    <w:p w14:paraId="2A68D42E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wewnętrzne:</w:t>
      </w:r>
    </w:p>
    <w:p w14:paraId="12A0B691" w14:textId="77777777" w:rsidR="008A0DC1" w:rsidRDefault="004A0D21" w:rsidP="008A0DC1">
      <w:pPr>
        <w:pStyle w:val="Bezodstpw"/>
        <w:numPr>
          <w:ilvl w:val="2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</w:t>
      </w:r>
      <w:r w:rsidR="008A0DC1">
        <w:rPr>
          <w:rFonts w:ascii="Verdana" w:eastAsia="Times New Roman" w:hAnsi="Verdana" w:cs="Times New Roman"/>
          <w:color w:val="000000"/>
          <w:lang w:eastAsia="pl-PL"/>
        </w:rPr>
        <w:t xml:space="preserve"> × 2,5”/3,5”</w:t>
      </w:r>
    </w:p>
    <w:p w14:paraId="3A888196" w14:textId="77777777" w:rsidR="008A0DC1" w:rsidRDefault="004A0D21" w:rsidP="008A0DC1">
      <w:pPr>
        <w:pStyle w:val="Bezodstpw"/>
        <w:numPr>
          <w:ilvl w:val="2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</w:t>
      </w:r>
      <w:r w:rsidR="008A0DC1">
        <w:rPr>
          <w:rFonts w:ascii="Verdana" w:eastAsia="Times New Roman" w:hAnsi="Verdana" w:cs="Times New Roman"/>
          <w:color w:val="000000"/>
          <w:lang w:eastAsia="pl-PL"/>
        </w:rPr>
        <w:t xml:space="preserve"> × 2,5″</w:t>
      </w:r>
    </w:p>
    <w:p w14:paraId="21E03814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Miejsca na karty rozszerzeń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: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7</w:t>
      </w:r>
    </w:p>
    <w:p w14:paraId="31D40FEA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Filtry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przeciwkurzowe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góra (magnes), dół (magnes), </w:t>
      </w:r>
      <w:r w:rsidR="00925FC3">
        <w:rPr>
          <w:rFonts w:ascii="Verdana" w:eastAsia="Times New Roman" w:hAnsi="Verdana" w:cs="Times New Roman"/>
          <w:color w:val="000000"/>
          <w:lang w:eastAsia="pl-PL"/>
        </w:rPr>
        <w:t>dwa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w panelu przednim</w:t>
      </w:r>
    </w:p>
    <w:p w14:paraId="2F7343C6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karty graficznej: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325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14:paraId="73FBCC82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wysokość chłodzenia CPU: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161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14:paraId="1DE17F4E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zasilacza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: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160/280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14:paraId="6EDD9259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System chłodzenia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(4 wentylatory w komplecie, maksimum 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>8</w:t>
      </w:r>
      <w:r>
        <w:rPr>
          <w:rFonts w:ascii="Verdana" w:eastAsia="Times New Roman" w:hAnsi="Verdana" w:cs="Times New Roman"/>
          <w:color w:val="000000"/>
          <w:lang w:eastAsia="pl-PL"/>
        </w:rPr>
        <w:t>):</w:t>
      </w:r>
    </w:p>
    <w:p w14:paraId="45445751" w14:textId="77777777" w:rsidR="008A0DC1" w:rsidRPr="00591FAF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Przód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: 3 × Stella HP </w:t>
      </w:r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CF 120 mm (</w:t>
      </w: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14:paraId="69D6A959" w14:textId="77777777" w:rsidR="008A0DC1" w:rsidRPr="00591FAF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Tył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: 1 × Stella HP </w:t>
      </w:r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CF 120 mm (</w:t>
      </w: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14:paraId="6B2B9CE3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Kompatybilność z AIO:</w:t>
      </w:r>
    </w:p>
    <w:p w14:paraId="032E9D57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Przód:</w:t>
      </w:r>
    </w:p>
    <w:p w14:paraId="2E56C33C" w14:textId="77777777" w:rsidR="008A0DC1" w:rsidRDefault="004A0D21" w:rsidP="008A0DC1">
      <w:pPr>
        <w:pStyle w:val="Bezodstpw"/>
        <w:numPr>
          <w:ilvl w:val="2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120/240</w:t>
      </w:r>
      <w:r w:rsidR="008A0DC1">
        <w:rPr>
          <w:rFonts w:ascii="Verdana" w:eastAsia="Times New Roman" w:hAnsi="Verdana" w:cs="Times New Roman"/>
          <w:color w:val="000000"/>
          <w:lang w:eastAsia="pl-PL"/>
        </w:rPr>
        <w:t>/360 mm</w:t>
      </w:r>
    </w:p>
    <w:p w14:paraId="518CAA37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Góra:</w:t>
      </w:r>
    </w:p>
    <w:p w14:paraId="1C6AF386" w14:textId="77777777" w:rsidR="008A0DC1" w:rsidRDefault="008A0DC1" w:rsidP="008A0DC1">
      <w:pPr>
        <w:pStyle w:val="Bezodstpw"/>
        <w:numPr>
          <w:ilvl w:val="2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120/240 mm</w:t>
      </w:r>
      <w:r w:rsidR="004A0D21">
        <w:rPr>
          <w:rFonts w:ascii="Verdana" w:eastAsia="Times New Roman" w:hAnsi="Verdana" w:cs="Times New Roman"/>
          <w:color w:val="000000"/>
          <w:lang w:eastAsia="pl-PL"/>
        </w:rPr>
        <w:t xml:space="preserve"> (maks. wysokość RAM: 32 mm)</w:t>
      </w:r>
    </w:p>
    <w:p w14:paraId="4E0D129A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Tył:</w:t>
      </w:r>
    </w:p>
    <w:p w14:paraId="668F7D41" w14:textId="77777777" w:rsidR="008A0DC1" w:rsidRDefault="004A0D21" w:rsidP="008A0DC1">
      <w:pPr>
        <w:pStyle w:val="Bezodstpw"/>
        <w:numPr>
          <w:ilvl w:val="2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</w:t>
      </w:r>
      <w:r w:rsidR="008A0DC1"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14:paraId="29C50241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Porty, kontrolery i przyciski na panelu górnym:</w:t>
      </w:r>
    </w:p>
    <w:p w14:paraId="05F430B6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USB 3.2 gen 1 (podłączane wewnętrznie)</w:t>
      </w:r>
    </w:p>
    <w:p w14:paraId="03FD7955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słuchawki (HD Audio)</w:t>
      </w:r>
    </w:p>
    <w:p w14:paraId="2E2462BC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mikrofon (HD Audio)</w:t>
      </w:r>
    </w:p>
    <w:p w14:paraId="44EC8A42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POWER</w:t>
      </w:r>
    </w:p>
    <w:p w14:paraId="4180D626" w14:textId="77777777" w:rsidR="008A0DC1" w:rsidRDefault="008A0DC1" w:rsidP="008A0DC1">
      <w:pPr>
        <w:pStyle w:val="Bezodstpw"/>
        <w:numPr>
          <w:ilvl w:val="1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RESET</w:t>
      </w:r>
    </w:p>
    <w:p w14:paraId="06A45749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591FAF">
        <w:rPr>
          <w:rFonts w:ascii="Verdana" w:eastAsia="Times New Roman" w:hAnsi="Verdana" w:cs="Times New Roman"/>
          <w:b/>
          <w:color w:val="000000"/>
          <w:lang w:eastAsia="pl-PL"/>
        </w:rPr>
        <w:t>Kontroler</w:t>
      </w:r>
      <w:r>
        <w:rPr>
          <w:rFonts w:ascii="Verdana" w:eastAsia="Times New Roman" w:hAnsi="Verdana" w:cs="Times New Roman"/>
          <w:color w:val="000000"/>
          <w:lang w:eastAsia="pl-PL"/>
        </w:rPr>
        <w:t>: Nano-Reset ARGB (w komplecie)</w:t>
      </w:r>
      <w:r w:rsidR="00B37E45">
        <w:rPr>
          <w:rFonts w:ascii="Verdana" w:eastAsia="Times New Roman" w:hAnsi="Verdana" w:cs="Times New Roman"/>
          <w:color w:val="000000"/>
          <w:lang w:eastAsia="pl-PL"/>
        </w:rPr>
        <w:t xml:space="preserve"> z rozgałęziaczem.</w:t>
      </w:r>
    </w:p>
    <w:p w14:paraId="69B53913" w14:textId="77777777" w:rsidR="008A0DC1" w:rsidRDefault="008A0DC1" w:rsidP="008A0DC1">
      <w:pPr>
        <w:pStyle w:val="Bezodstpw"/>
        <w:numPr>
          <w:ilvl w:val="0"/>
          <w:numId w:val="2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Zasilacz (standard ATX PS2):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brak w komplecie</w:t>
      </w:r>
    </w:p>
    <w:p w14:paraId="685B7886" w14:textId="77777777" w:rsidR="008A0DC1" w:rsidRDefault="008A0DC1" w:rsidP="008A0DC1">
      <w:pPr>
        <w:pStyle w:val="Bezodstpw"/>
        <w:rPr>
          <w:rFonts w:ascii="Verdana" w:hAnsi="Verdana"/>
        </w:rPr>
      </w:pPr>
    </w:p>
    <w:p w14:paraId="182B98BB" w14:textId="77777777" w:rsidR="008A0DC1" w:rsidRPr="00EF0B92" w:rsidRDefault="00EF0B92" w:rsidP="00013997">
      <w:pPr>
        <w:pStyle w:val="Bezodstpw"/>
        <w:rPr>
          <w:rFonts w:ascii="Verdana" w:hAnsi="Verdana"/>
          <w:b/>
        </w:rPr>
      </w:pPr>
      <w:r w:rsidRPr="00EF0B92">
        <w:rPr>
          <w:rFonts w:ascii="Verdana" w:hAnsi="Verdana"/>
          <w:b/>
        </w:rPr>
        <w:t>Zestaw zawiera:</w:t>
      </w:r>
    </w:p>
    <w:p w14:paraId="5B8EEE90" w14:textId="77777777" w:rsidR="00EF0B92" w:rsidRDefault="00EF0B92" w:rsidP="00EF0B92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obudowa </w:t>
      </w:r>
      <w:proofErr w:type="spellStart"/>
      <w:r>
        <w:rPr>
          <w:rFonts w:ascii="Verdana" w:hAnsi="Verdana"/>
        </w:rPr>
        <w:t>SilentiumPC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Signum</w:t>
      </w:r>
      <w:proofErr w:type="spellEnd"/>
      <w:r>
        <w:rPr>
          <w:rFonts w:ascii="Verdana" w:hAnsi="Verdana"/>
        </w:rPr>
        <w:t xml:space="preserve"> SG1</w:t>
      </w:r>
      <w:r w:rsidR="00925FC3">
        <w:rPr>
          <w:rFonts w:ascii="Verdana" w:hAnsi="Verdana"/>
        </w:rPr>
        <w:t>X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ARGB,</w:t>
      </w:r>
    </w:p>
    <w:p w14:paraId="1562DFBC" w14:textId="77777777" w:rsidR="00EF0B92" w:rsidRDefault="00EF0B92" w:rsidP="00EF0B92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kontroler Nano-Reset ARGB wraz z rozgałęziaczem,</w:t>
      </w:r>
    </w:p>
    <w:p w14:paraId="0D2DE579" w14:textId="77777777" w:rsidR="00EF0B92" w:rsidRPr="00EF0B92" w:rsidRDefault="00EF0B92" w:rsidP="00EF0B92">
      <w:pPr>
        <w:pStyle w:val="Bezodstpw"/>
        <w:numPr>
          <w:ilvl w:val="0"/>
          <w:numId w:val="2"/>
        </w:numPr>
        <w:rPr>
          <w:rFonts w:ascii="Verdana" w:hAnsi="Verdana"/>
          <w:lang w:val="en-GB"/>
        </w:rPr>
      </w:pPr>
      <w:r w:rsidRPr="00EF0B92">
        <w:rPr>
          <w:rFonts w:ascii="Verdana" w:hAnsi="Verdana"/>
          <w:lang w:val="en-GB"/>
        </w:rPr>
        <w:t xml:space="preserve">4 </w:t>
      </w:r>
      <w:r w:rsidRPr="00EF0B92">
        <w:rPr>
          <w:rFonts w:ascii="Verdana" w:eastAsia="Times New Roman" w:hAnsi="Verdana" w:cs="Times New Roman"/>
          <w:color w:val="000000"/>
          <w:lang w:val="en-GB" w:eastAsia="pl-PL"/>
        </w:rPr>
        <w:t xml:space="preserve">× </w:t>
      </w:r>
      <w:proofErr w:type="spellStart"/>
      <w:r w:rsidRPr="00EF0B92">
        <w:rPr>
          <w:rFonts w:ascii="Verdana" w:eastAsia="Times New Roman" w:hAnsi="Verdana" w:cs="Times New Roman"/>
          <w:color w:val="000000"/>
          <w:lang w:val="en-GB" w:eastAsia="pl-PL"/>
        </w:rPr>
        <w:t>wentylator</w:t>
      </w:r>
      <w:proofErr w:type="spellEnd"/>
      <w:r w:rsidRPr="00EF0B92">
        <w:rPr>
          <w:rFonts w:ascii="Verdana" w:eastAsia="Times New Roman" w:hAnsi="Verdana" w:cs="Times New Roman"/>
          <w:color w:val="000000"/>
          <w:lang w:val="en-GB" w:eastAsia="pl-PL"/>
        </w:rPr>
        <w:t xml:space="preserve"> Stella HP ARGB CF 120 mm,</w:t>
      </w:r>
    </w:p>
    <w:p w14:paraId="34C912F2" w14:textId="77777777" w:rsidR="00EF0B92" w:rsidRPr="00EF0B92" w:rsidRDefault="00EF0B92" w:rsidP="00EF0B92">
      <w:pPr>
        <w:pStyle w:val="Bezodstpw"/>
        <w:numPr>
          <w:ilvl w:val="0"/>
          <w:numId w:val="2"/>
        </w:numPr>
        <w:rPr>
          <w:rFonts w:ascii="Verdana" w:hAnsi="Verdana"/>
          <w:lang w:val="en-GB"/>
        </w:rPr>
      </w:pP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akcesoria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montażowe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>.</w:t>
      </w:r>
    </w:p>
    <w:sectPr w:rsidR="00EF0B92" w:rsidRPr="00EF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A5878"/>
    <w:multiLevelType w:val="hybridMultilevel"/>
    <w:tmpl w:val="77684D74"/>
    <w:lvl w:ilvl="0" w:tplc="F1923632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32BD"/>
    <w:multiLevelType w:val="hybridMultilevel"/>
    <w:tmpl w:val="CF4E78D2"/>
    <w:lvl w:ilvl="0" w:tplc="48CC50B0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4929"/>
    <w:multiLevelType w:val="hybridMultilevel"/>
    <w:tmpl w:val="28D0084E"/>
    <w:lvl w:ilvl="0" w:tplc="DB84F10E">
      <w:start w:val="3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A72C9"/>
    <w:multiLevelType w:val="multilevel"/>
    <w:tmpl w:val="CBAAD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50F"/>
    <w:rsid w:val="0000250F"/>
    <w:rsid w:val="00013997"/>
    <w:rsid w:val="0004271E"/>
    <w:rsid w:val="0009482A"/>
    <w:rsid w:val="001328B1"/>
    <w:rsid w:val="00171A22"/>
    <w:rsid w:val="001A7CE3"/>
    <w:rsid w:val="00274891"/>
    <w:rsid w:val="002A6E9C"/>
    <w:rsid w:val="00341FCF"/>
    <w:rsid w:val="00371BEC"/>
    <w:rsid w:val="00382292"/>
    <w:rsid w:val="003B6878"/>
    <w:rsid w:val="004A0D21"/>
    <w:rsid w:val="005150C7"/>
    <w:rsid w:val="00540EA6"/>
    <w:rsid w:val="00556F7E"/>
    <w:rsid w:val="00567479"/>
    <w:rsid w:val="00627A4E"/>
    <w:rsid w:val="006B450B"/>
    <w:rsid w:val="006C11A6"/>
    <w:rsid w:val="007D16C5"/>
    <w:rsid w:val="00893759"/>
    <w:rsid w:val="008A0DC1"/>
    <w:rsid w:val="00924020"/>
    <w:rsid w:val="00925FC3"/>
    <w:rsid w:val="00994B90"/>
    <w:rsid w:val="00A351E3"/>
    <w:rsid w:val="00AB663B"/>
    <w:rsid w:val="00AE51B6"/>
    <w:rsid w:val="00B37E45"/>
    <w:rsid w:val="00BA41D8"/>
    <w:rsid w:val="00BB1763"/>
    <w:rsid w:val="00C0769F"/>
    <w:rsid w:val="00CC4332"/>
    <w:rsid w:val="00D73B50"/>
    <w:rsid w:val="00D92D8D"/>
    <w:rsid w:val="00DD1C89"/>
    <w:rsid w:val="00E2358D"/>
    <w:rsid w:val="00EA034D"/>
    <w:rsid w:val="00EA2758"/>
    <w:rsid w:val="00EB6FD5"/>
    <w:rsid w:val="00EF0B92"/>
    <w:rsid w:val="00F47B86"/>
    <w:rsid w:val="00F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A0C5"/>
  <w15:docId w15:val="{65B94107-A54A-4E6F-953A-728055D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Łukasz Marek</cp:lastModifiedBy>
  <cp:revision>5</cp:revision>
  <dcterms:created xsi:type="dcterms:W3CDTF">2020-07-20T19:42:00Z</dcterms:created>
  <dcterms:modified xsi:type="dcterms:W3CDTF">2020-07-21T14:22:00Z</dcterms:modified>
</cp:coreProperties>
</file>